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2CB54E" w14:textId="396DD8E0" w:rsidR="00FB0362" w:rsidRDefault="00A66D1D">
      <w:pPr>
        <w:jc w:val="center"/>
        <w:rPr>
          <w:rFonts w:ascii="Source Sans Pro" w:eastAsia="Source Sans Pro" w:hAnsi="Source Sans Pro" w:cs="Source Sans Pro"/>
          <w:b/>
          <w:color w:val="E3293C"/>
          <w:sz w:val="38"/>
          <w:szCs w:val="38"/>
        </w:rPr>
      </w:pPr>
      <w:r w:rsidRPr="00A66D1D">
        <w:rPr>
          <w:rFonts w:ascii="Source Sans Pro" w:eastAsia="Source Sans Pro" w:hAnsi="Source Sans Pro" w:cs="Source Sans Pro"/>
          <w:b/>
          <w:color w:val="E3293C"/>
          <w:sz w:val="38"/>
          <w:szCs w:val="38"/>
        </w:rPr>
        <w:t xml:space="preserve">Grupo </w:t>
      </w:r>
      <w:proofErr w:type="spellStart"/>
      <w:r w:rsidRPr="00A66D1D">
        <w:rPr>
          <w:rFonts w:ascii="Source Sans Pro" w:eastAsia="Source Sans Pro" w:hAnsi="Source Sans Pro" w:cs="Source Sans Pro"/>
          <w:b/>
          <w:color w:val="E3293C"/>
          <w:sz w:val="38"/>
          <w:szCs w:val="38"/>
        </w:rPr>
        <w:t>Menarini</w:t>
      </w:r>
      <w:proofErr w:type="spellEnd"/>
      <w:r w:rsidRPr="00A66D1D">
        <w:rPr>
          <w:rFonts w:ascii="Source Sans Pro" w:eastAsia="Source Sans Pro" w:hAnsi="Source Sans Pro" w:cs="Source Sans Pro"/>
          <w:b/>
          <w:color w:val="E3293C"/>
          <w:sz w:val="38"/>
          <w:szCs w:val="38"/>
        </w:rPr>
        <w:t xml:space="preserve"> recibe una opinión positiva del CHMP recomendando la aprobación de la CE de ORSERDU® (</w:t>
      </w:r>
      <w:proofErr w:type="spellStart"/>
      <w:r w:rsidRPr="00A66D1D">
        <w:rPr>
          <w:rFonts w:ascii="Source Sans Pro" w:eastAsia="Source Sans Pro" w:hAnsi="Source Sans Pro" w:cs="Source Sans Pro"/>
          <w:b/>
          <w:color w:val="E3293C"/>
          <w:sz w:val="38"/>
          <w:szCs w:val="38"/>
        </w:rPr>
        <w:t>elacestrant</w:t>
      </w:r>
      <w:proofErr w:type="spellEnd"/>
      <w:r w:rsidRPr="00A66D1D">
        <w:rPr>
          <w:rFonts w:ascii="Source Sans Pro" w:eastAsia="Source Sans Pro" w:hAnsi="Source Sans Pro" w:cs="Source Sans Pro"/>
          <w:b/>
          <w:color w:val="E3293C"/>
          <w:sz w:val="38"/>
          <w:szCs w:val="38"/>
        </w:rPr>
        <w:t>) para el tratamiento de pacientes con cáncer de mama metastásico o localmente avanzado RE+, HER2- con una mutación activadora en ESR1</w:t>
      </w:r>
    </w:p>
    <w:p w14:paraId="34685F3A" w14:textId="77777777" w:rsidR="00A66D1D" w:rsidRDefault="00A66D1D">
      <w:pPr>
        <w:jc w:val="center"/>
        <w:rPr>
          <w:rFonts w:ascii="Quattrocento Sans" w:eastAsia="Quattrocento Sans" w:hAnsi="Quattrocento Sans" w:cs="Quattrocento Sans"/>
          <w:color w:val="000000"/>
          <w:sz w:val="21"/>
          <w:szCs w:val="21"/>
        </w:rPr>
      </w:pPr>
    </w:p>
    <w:p w14:paraId="783434C5" w14:textId="347A9860" w:rsidR="00FB0362" w:rsidRDefault="00A66D1D">
      <w:pPr>
        <w:jc w:val="center"/>
        <w:rPr>
          <w:rFonts w:ascii="Quattrocento Sans" w:eastAsia="Quattrocento Sans" w:hAnsi="Quattrocento Sans" w:cs="Quattrocento Sans"/>
          <w:b/>
          <w:color w:val="000000"/>
          <w:sz w:val="21"/>
          <w:szCs w:val="21"/>
        </w:rPr>
      </w:pPr>
      <w:r>
        <w:rPr>
          <w:rFonts w:ascii="Quattrocento Sans" w:eastAsia="Quattrocento Sans" w:hAnsi="Quattrocento Sans" w:cs="Quattrocento Sans"/>
          <w:color w:val="000000"/>
          <w:sz w:val="21"/>
          <w:szCs w:val="21"/>
        </w:rPr>
        <w:t>Florencia y Nueva York</w:t>
      </w:r>
      <w:r w:rsidR="000237F0">
        <w:rPr>
          <w:rFonts w:ascii="Quattrocento Sans" w:eastAsia="Quattrocento Sans" w:hAnsi="Quattrocento Sans" w:cs="Quattrocento Sans"/>
          <w:color w:val="000000"/>
          <w:sz w:val="21"/>
          <w:szCs w:val="21"/>
        </w:rPr>
        <w:t xml:space="preserve">, </w:t>
      </w:r>
      <w:r>
        <w:rPr>
          <w:rFonts w:ascii="Quattrocento Sans" w:eastAsia="Quattrocento Sans" w:hAnsi="Quattrocento Sans" w:cs="Quattrocento Sans"/>
          <w:color w:val="000000"/>
          <w:sz w:val="21"/>
          <w:szCs w:val="21"/>
        </w:rPr>
        <w:t>21</w:t>
      </w:r>
      <w:r w:rsidR="000237F0">
        <w:rPr>
          <w:rFonts w:ascii="Quattrocento Sans" w:eastAsia="Quattrocento Sans" w:hAnsi="Quattrocento Sans" w:cs="Quattrocento Sans"/>
          <w:color w:val="000000"/>
          <w:sz w:val="21"/>
          <w:szCs w:val="21"/>
        </w:rPr>
        <w:t xml:space="preserve"> de </w:t>
      </w:r>
      <w:r w:rsidR="005A7E84">
        <w:rPr>
          <w:rFonts w:ascii="Quattrocento Sans" w:eastAsia="Quattrocento Sans" w:hAnsi="Quattrocento Sans" w:cs="Quattrocento Sans"/>
          <w:color w:val="000000"/>
          <w:sz w:val="21"/>
          <w:szCs w:val="21"/>
        </w:rPr>
        <w:t>ju</w:t>
      </w:r>
      <w:r>
        <w:rPr>
          <w:rFonts w:ascii="Quattrocento Sans" w:eastAsia="Quattrocento Sans" w:hAnsi="Quattrocento Sans" w:cs="Quattrocento Sans"/>
          <w:color w:val="000000"/>
          <w:sz w:val="21"/>
          <w:szCs w:val="21"/>
        </w:rPr>
        <w:t>l</w:t>
      </w:r>
      <w:r w:rsidR="005A7E84">
        <w:rPr>
          <w:rFonts w:ascii="Quattrocento Sans" w:eastAsia="Quattrocento Sans" w:hAnsi="Quattrocento Sans" w:cs="Quattrocento Sans"/>
          <w:color w:val="000000"/>
          <w:sz w:val="21"/>
          <w:szCs w:val="21"/>
        </w:rPr>
        <w:t xml:space="preserve">io </w:t>
      </w:r>
      <w:r w:rsidR="000237F0">
        <w:rPr>
          <w:rFonts w:ascii="Quattrocento Sans" w:eastAsia="Quattrocento Sans" w:hAnsi="Quattrocento Sans" w:cs="Quattrocento Sans"/>
          <w:color w:val="000000"/>
          <w:sz w:val="21"/>
          <w:szCs w:val="21"/>
        </w:rPr>
        <w:t>de 2023</w:t>
      </w:r>
    </w:p>
    <w:p w14:paraId="05D96131" w14:textId="77777777" w:rsidR="00FB0362" w:rsidRDefault="00FB0362">
      <w:pPr>
        <w:tabs>
          <w:tab w:val="left" w:pos="993"/>
          <w:tab w:val="left" w:pos="1035"/>
        </w:tabs>
        <w:ind w:left="567"/>
        <w:jc w:val="center"/>
        <w:rPr>
          <w:rFonts w:ascii="Quattrocento Sans" w:eastAsia="Quattrocento Sans" w:hAnsi="Quattrocento Sans" w:cs="Quattrocento Sans"/>
          <w:b/>
          <w:color w:val="000000"/>
          <w:sz w:val="22"/>
          <w:szCs w:val="22"/>
        </w:rPr>
      </w:pPr>
    </w:p>
    <w:p w14:paraId="32A3D607" w14:textId="77777777" w:rsidR="00A66D1D" w:rsidRPr="00A66D1D" w:rsidRDefault="00A66D1D" w:rsidP="00A66D1D">
      <w:pPr>
        <w:numPr>
          <w:ilvl w:val="0"/>
          <w:numId w:val="1"/>
        </w:numPr>
        <w:pBdr>
          <w:top w:val="nil"/>
          <w:left w:val="nil"/>
          <w:bottom w:val="nil"/>
          <w:right w:val="nil"/>
          <w:between w:val="nil"/>
        </w:pBdr>
        <w:tabs>
          <w:tab w:val="left" w:pos="720"/>
        </w:tabs>
        <w:spacing w:line="276" w:lineRule="auto"/>
        <w:ind w:left="360"/>
        <w:jc w:val="both"/>
        <w:rPr>
          <w:rFonts w:ascii="Quattrocento Sans" w:eastAsia="Quattrocento Sans" w:hAnsi="Quattrocento Sans" w:cs="Quattrocento Sans"/>
          <w:b/>
          <w:color w:val="000000"/>
          <w:sz w:val="22"/>
          <w:szCs w:val="22"/>
        </w:rPr>
      </w:pPr>
      <w:r w:rsidRPr="00A66D1D">
        <w:rPr>
          <w:rFonts w:ascii="Quattrocento Sans" w:eastAsia="Quattrocento Sans" w:hAnsi="Quattrocento Sans" w:cs="Quattrocento Sans"/>
          <w:b/>
          <w:color w:val="000000"/>
        </w:rPr>
        <w:t>Cada año en Europa se diagnostica cáncer de mama en más de 550.000 pacientes, de los cuales el 70% presenta enfermedad con receptor de estrógenos (RE) positivo¹; más de 147.000 pacientes con cáncer de mama mueren anualmente en Europa a causa de la enfermedad²</w:t>
      </w:r>
    </w:p>
    <w:p w14:paraId="5FAB23C2" w14:textId="77777777" w:rsidR="00A66D1D" w:rsidRDefault="00A66D1D" w:rsidP="00A66D1D">
      <w:pPr>
        <w:pBdr>
          <w:top w:val="nil"/>
          <w:left w:val="nil"/>
          <w:bottom w:val="nil"/>
          <w:right w:val="nil"/>
          <w:between w:val="nil"/>
        </w:pBdr>
        <w:tabs>
          <w:tab w:val="left" w:pos="720"/>
        </w:tabs>
        <w:spacing w:line="276" w:lineRule="auto"/>
        <w:ind w:left="360"/>
        <w:jc w:val="both"/>
        <w:rPr>
          <w:rFonts w:ascii="Quattrocento Sans" w:eastAsia="Quattrocento Sans" w:hAnsi="Quattrocento Sans" w:cs="Quattrocento Sans"/>
          <w:b/>
          <w:color w:val="000000"/>
          <w:sz w:val="22"/>
          <w:szCs w:val="22"/>
        </w:rPr>
      </w:pPr>
    </w:p>
    <w:p w14:paraId="6825E9DF" w14:textId="77777777" w:rsidR="00A66D1D" w:rsidRDefault="00A66D1D" w:rsidP="00A66D1D">
      <w:pPr>
        <w:numPr>
          <w:ilvl w:val="0"/>
          <w:numId w:val="1"/>
        </w:numPr>
        <w:pBdr>
          <w:top w:val="nil"/>
          <w:left w:val="nil"/>
          <w:bottom w:val="nil"/>
          <w:right w:val="nil"/>
          <w:between w:val="nil"/>
        </w:pBdr>
        <w:tabs>
          <w:tab w:val="left" w:pos="720"/>
        </w:tabs>
        <w:spacing w:line="276" w:lineRule="auto"/>
        <w:ind w:left="360"/>
        <w:jc w:val="both"/>
        <w:rPr>
          <w:rFonts w:ascii="Quattrocento Sans" w:eastAsia="Quattrocento Sans" w:hAnsi="Quattrocento Sans" w:cs="Quattrocento Sans"/>
          <w:b/>
          <w:color w:val="000000"/>
          <w:sz w:val="22"/>
          <w:szCs w:val="22"/>
        </w:rPr>
      </w:pPr>
      <w:r w:rsidRPr="00A66D1D">
        <w:rPr>
          <w:rFonts w:ascii="Quattrocento Sans" w:eastAsia="Quattrocento Sans" w:hAnsi="Quattrocento Sans" w:cs="Quattrocento Sans"/>
          <w:b/>
          <w:color w:val="000000"/>
        </w:rPr>
        <w:t>Si la Comisión Europea lo aprueba, ORSERDU será el primer y único tratamiento específicamente indicado para pacientes con cáncer de mama metastásico o avanzado RE+, HER2- con mutaciones en ESR1</w:t>
      </w:r>
    </w:p>
    <w:p w14:paraId="1189F2D8" w14:textId="77777777" w:rsidR="00A66D1D" w:rsidRDefault="00A66D1D" w:rsidP="00A66D1D">
      <w:pPr>
        <w:pStyle w:val="Prrafodelista"/>
        <w:rPr>
          <w:rFonts w:ascii="Quattrocento Sans" w:eastAsia="Quattrocento Sans" w:hAnsi="Quattrocento Sans" w:cs="Quattrocento Sans"/>
          <w:b/>
          <w:color w:val="000000"/>
        </w:rPr>
      </w:pPr>
    </w:p>
    <w:p w14:paraId="5EF6B66E" w14:textId="0F5FC56F" w:rsidR="00FB0362" w:rsidRPr="00A66D1D" w:rsidRDefault="00A66D1D" w:rsidP="00A66D1D">
      <w:pPr>
        <w:numPr>
          <w:ilvl w:val="0"/>
          <w:numId w:val="1"/>
        </w:numPr>
        <w:pBdr>
          <w:top w:val="nil"/>
          <w:left w:val="nil"/>
          <w:bottom w:val="nil"/>
          <w:right w:val="nil"/>
          <w:between w:val="nil"/>
        </w:pBdr>
        <w:tabs>
          <w:tab w:val="left" w:pos="720"/>
        </w:tabs>
        <w:spacing w:line="276" w:lineRule="auto"/>
        <w:ind w:left="360"/>
        <w:jc w:val="both"/>
        <w:rPr>
          <w:rFonts w:ascii="Quattrocento Sans" w:eastAsia="Quattrocento Sans" w:hAnsi="Quattrocento Sans" w:cs="Quattrocento Sans"/>
          <w:b/>
          <w:color w:val="000000"/>
          <w:sz w:val="22"/>
          <w:szCs w:val="22"/>
        </w:rPr>
      </w:pPr>
      <w:r w:rsidRPr="00A66D1D">
        <w:rPr>
          <w:rFonts w:ascii="Quattrocento Sans" w:eastAsia="Quattrocento Sans" w:hAnsi="Quattrocento Sans" w:cs="Quattrocento Sans"/>
          <w:b/>
          <w:color w:val="000000"/>
        </w:rPr>
        <w:t>El 40% de los casos con cáncer de mama metastásico o avanzado RE+, HER2- presentan mutaciones en ESR1, factor que se sabe que fomenta la resistencia a la terapia endocrina estándar, lo que hace que estos tumores sean más difíciles de tratar</w:t>
      </w:r>
    </w:p>
    <w:p w14:paraId="39C17F90" w14:textId="77777777" w:rsidR="00FB0362" w:rsidRDefault="00FB0362">
      <w:pPr>
        <w:pBdr>
          <w:top w:val="nil"/>
          <w:left w:val="nil"/>
          <w:bottom w:val="nil"/>
          <w:right w:val="nil"/>
          <w:between w:val="nil"/>
        </w:pBdr>
        <w:tabs>
          <w:tab w:val="left" w:pos="720"/>
        </w:tabs>
        <w:spacing w:line="276" w:lineRule="auto"/>
        <w:ind w:left="360"/>
        <w:jc w:val="both"/>
        <w:rPr>
          <w:rFonts w:ascii="Quattrocento Sans" w:eastAsia="Quattrocento Sans" w:hAnsi="Quattrocento Sans" w:cs="Quattrocento Sans"/>
          <w:b/>
          <w:color w:val="000000"/>
          <w:sz w:val="22"/>
          <w:szCs w:val="22"/>
        </w:rPr>
      </w:pPr>
    </w:p>
    <w:p w14:paraId="6F2B0391"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bookmarkStart w:id="0" w:name="_heading=h.gjdgxs" w:colFirst="0" w:colLast="0"/>
      <w:bookmarkEnd w:id="0"/>
      <w:r w:rsidRPr="00A66D1D">
        <w:rPr>
          <w:rFonts w:ascii="Quattrocento Sans" w:eastAsia="Quattrocento Sans" w:hAnsi="Quattrocento Sans" w:cs="Quattrocento Sans"/>
          <w:sz w:val="22"/>
          <w:szCs w:val="22"/>
        </w:rPr>
        <w:t xml:space="preserve">Grupo </w:t>
      </w:r>
      <w:proofErr w:type="spellStart"/>
      <w:r w:rsidRPr="00A66D1D">
        <w:rPr>
          <w:rFonts w:ascii="Quattrocento Sans" w:eastAsia="Quattrocento Sans" w:hAnsi="Quattrocento Sans" w:cs="Quattrocento Sans"/>
          <w:sz w:val="22"/>
          <w:szCs w:val="22"/>
        </w:rPr>
        <w:t>Menarini</w:t>
      </w:r>
      <w:proofErr w:type="spellEnd"/>
      <w:r w:rsidRPr="00A66D1D">
        <w:rPr>
          <w:rFonts w:ascii="Quattrocento Sans" w:eastAsia="Quattrocento Sans" w:hAnsi="Quattrocento Sans" w:cs="Quattrocento Sans"/>
          <w:sz w:val="22"/>
          <w:szCs w:val="22"/>
        </w:rPr>
        <w:t xml:space="preserve"> (“</w:t>
      </w:r>
      <w:proofErr w:type="spellStart"/>
      <w:r w:rsidRPr="00A66D1D">
        <w:rPr>
          <w:rFonts w:ascii="Quattrocento Sans" w:eastAsia="Quattrocento Sans" w:hAnsi="Quattrocento Sans" w:cs="Quattrocento Sans"/>
          <w:sz w:val="22"/>
          <w:szCs w:val="22"/>
        </w:rPr>
        <w:t>Menarini</w:t>
      </w:r>
      <w:proofErr w:type="spellEnd"/>
      <w:r w:rsidRPr="00A66D1D">
        <w:rPr>
          <w:rFonts w:ascii="Quattrocento Sans" w:eastAsia="Quattrocento Sans" w:hAnsi="Quattrocento Sans" w:cs="Quattrocento Sans"/>
          <w:sz w:val="22"/>
          <w:szCs w:val="22"/>
        </w:rPr>
        <w:t xml:space="preserve">”), una compañía farmacéutica y de diagnóstico internacional líder, y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w:t>
      </w:r>
      <w:proofErr w:type="spellStart"/>
      <w:r w:rsidRPr="00A66D1D">
        <w:rPr>
          <w:rFonts w:ascii="Quattrocento Sans" w:eastAsia="Quattrocento Sans" w:hAnsi="Quattrocento Sans" w:cs="Quattrocento Sans"/>
          <w:sz w:val="22"/>
          <w:szCs w:val="22"/>
        </w:rPr>
        <w:t>Therapeutics</w:t>
      </w:r>
      <w:proofErr w:type="spellEnd"/>
      <w:r w:rsidRPr="00A66D1D">
        <w:rPr>
          <w:rFonts w:ascii="Quattrocento Sans" w:eastAsia="Quattrocento Sans" w:hAnsi="Quattrocento Sans" w:cs="Quattrocento Sans"/>
          <w:sz w:val="22"/>
          <w:szCs w:val="22"/>
        </w:rPr>
        <w:t xml:space="preserve"> Inc.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una filial propiedad de Grupo </w:t>
      </w:r>
      <w:proofErr w:type="spellStart"/>
      <w:r w:rsidRPr="00A66D1D">
        <w:rPr>
          <w:rFonts w:ascii="Quattrocento Sans" w:eastAsia="Quattrocento Sans" w:hAnsi="Quattrocento Sans" w:cs="Quattrocento Sans"/>
          <w:sz w:val="22"/>
          <w:szCs w:val="22"/>
        </w:rPr>
        <w:t>Menarini</w:t>
      </w:r>
      <w:proofErr w:type="spellEnd"/>
      <w:r w:rsidRPr="00A66D1D">
        <w:rPr>
          <w:rFonts w:ascii="Quattrocento Sans" w:eastAsia="Quattrocento Sans" w:hAnsi="Quattrocento Sans" w:cs="Quattrocento Sans"/>
          <w:sz w:val="22"/>
          <w:szCs w:val="22"/>
        </w:rPr>
        <w:t>, han anunciado que el Comité de Medicamentos de Uso Humano (CHMP) de la Agencia Europea de Medicamentos (EMA) ha adoptado una opinión positiva con respecto a la aprobación de ORSERDU®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en monoterapia, indicado para el tratamiento de mujeres posmenopáusicas y varones con cáncer de mama metastásico o localmente avanzado con receptor de estrógenos (RE) positivo y HER2 negativo, con una mutación activadora en ESR1 que presentan progresión de la enfermedad después de recibir al menos una línea de terapia endocrina incluyendo un inhibidor de CDK 4/6. </w:t>
      </w:r>
    </w:p>
    <w:p w14:paraId="6034BB19"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61FA9DCC"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Ahora, la opinión del CHMP será revisada por la Comisión Europea, que goza de la autoridad para conceder la autorización de comercialización de medicamentos de uso humano en la Unión Europea (UE). En caso de aprobarse,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y sus filiales comercializarán el medicamento en Europa. ORSERDU será la primera y única terapia específicamente indicada para el tratamiento de tumores RE+, HER2- con mutaciones en ESR1. Las mutaciones en ESR1 son mutaciones adquiridas que se desarrollan debido a la exposición a una terapia endocrina, y se observan en hasta el 40% de los pacientes con </w:t>
      </w:r>
      <w:proofErr w:type="spellStart"/>
      <w:r w:rsidRPr="00A66D1D">
        <w:rPr>
          <w:rFonts w:ascii="Quattrocento Sans" w:eastAsia="Quattrocento Sans" w:hAnsi="Quattrocento Sans" w:cs="Quattrocento Sans"/>
          <w:sz w:val="22"/>
          <w:szCs w:val="22"/>
        </w:rPr>
        <w:t>CMm</w:t>
      </w:r>
      <w:proofErr w:type="spellEnd"/>
      <w:r w:rsidRPr="00A66D1D">
        <w:rPr>
          <w:rFonts w:ascii="Quattrocento Sans" w:eastAsia="Quattrocento Sans" w:hAnsi="Quattrocento Sans" w:cs="Quattrocento Sans"/>
          <w:sz w:val="22"/>
          <w:szCs w:val="22"/>
        </w:rPr>
        <w:t xml:space="preserve"> RE+, </w:t>
      </w:r>
    </w:p>
    <w:p w14:paraId="668494A4"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HER2-. Se sabe que las mutaciones en ESR1 generan resistencia al tratamiento endocrino estándar y, hasta ahora, los tumores con estas mutaciones han sido más difíciles de tratar.</w:t>
      </w:r>
    </w:p>
    <w:p w14:paraId="07474940"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54D1BE6B"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«Los pacientes que viven con cáncer de mama metastásico necesitan opciones terapéuticas eficaces y tolerables. Es posible que, si la Comisión Europea lo aprueba, ORSERDU se convierta en el primer tratamiento indicado para el cáncer de mama avanzado RE+, HER2- con mutaciones en ESR1, factor importante de resistencia al tratamiento en hasta el 40% de los pacientes en la segunda línea de tratamiento para el </w:t>
      </w:r>
      <w:proofErr w:type="spellStart"/>
      <w:r w:rsidRPr="00A66D1D">
        <w:rPr>
          <w:rFonts w:ascii="Quattrocento Sans" w:eastAsia="Quattrocento Sans" w:hAnsi="Quattrocento Sans" w:cs="Quattrocento Sans"/>
          <w:sz w:val="22"/>
          <w:szCs w:val="22"/>
        </w:rPr>
        <w:t>CMm</w:t>
      </w:r>
      <w:proofErr w:type="spellEnd"/>
      <w:r w:rsidRPr="00A66D1D">
        <w:rPr>
          <w:rFonts w:ascii="Quattrocento Sans" w:eastAsia="Quattrocento Sans" w:hAnsi="Quattrocento Sans" w:cs="Quattrocento Sans"/>
          <w:sz w:val="22"/>
          <w:szCs w:val="22"/>
        </w:rPr>
        <w:t xml:space="preserve">. En caso de aprobación, ORSERDU también ofrecerá un tratamiento oral diario de administración cómoda», afirmó </w:t>
      </w:r>
      <w:proofErr w:type="spellStart"/>
      <w:r w:rsidRPr="00A66D1D">
        <w:rPr>
          <w:rFonts w:ascii="Quattrocento Sans" w:eastAsia="Quattrocento Sans" w:hAnsi="Quattrocento Sans" w:cs="Quattrocento Sans"/>
          <w:sz w:val="22"/>
          <w:szCs w:val="22"/>
        </w:rPr>
        <w:t>Elcin</w:t>
      </w:r>
      <w:proofErr w:type="spellEnd"/>
      <w:r w:rsidRPr="00A66D1D">
        <w:rPr>
          <w:rFonts w:ascii="Quattrocento Sans" w:eastAsia="Quattrocento Sans" w:hAnsi="Quattrocento Sans" w:cs="Quattrocento Sans"/>
          <w:sz w:val="22"/>
          <w:szCs w:val="22"/>
        </w:rPr>
        <w:t xml:space="preserve"> Barker </w:t>
      </w:r>
      <w:proofErr w:type="spellStart"/>
      <w:r w:rsidRPr="00A66D1D">
        <w:rPr>
          <w:rFonts w:ascii="Quattrocento Sans" w:eastAsia="Quattrocento Sans" w:hAnsi="Quattrocento Sans" w:cs="Quattrocento Sans"/>
          <w:sz w:val="22"/>
          <w:szCs w:val="22"/>
        </w:rPr>
        <w:t>Ergun</w:t>
      </w:r>
      <w:proofErr w:type="spellEnd"/>
      <w:r w:rsidRPr="00A66D1D">
        <w:rPr>
          <w:rFonts w:ascii="Quattrocento Sans" w:eastAsia="Quattrocento Sans" w:hAnsi="Quattrocento Sans" w:cs="Quattrocento Sans"/>
          <w:sz w:val="22"/>
          <w:szCs w:val="22"/>
        </w:rPr>
        <w:t xml:space="preserve">, consejera delegada de Grupo </w:t>
      </w:r>
      <w:proofErr w:type="spellStart"/>
      <w:r w:rsidRPr="00A66D1D">
        <w:rPr>
          <w:rFonts w:ascii="Quattrocento Sans" w:eastAsia="Quattrocento Sans" w:hAnsi="Quattrocento Sans" w:cs="Quattrocento Sans"/>
          <w:sz w:val="22"/>
          <w:szCs w:val="22"/>
        </w:rPr>
        <w:t>Menarini</w:t>
      </w:r>
      <w:proofErr w:type="spellEnd"/>
      <w:r w:rsidRPr="00A66D1D">
        <w:rPr>
          <w:rFonts w:ascii="Quattrocento Sans" w:eastAsia="Quattrocento Sans" w:hAnsi="Quattrocento Sans" w:cs="Quattrocento Sans"/>
          <w:sz w:val="22"/>
          <w:szCs w:val="22"/>
        </w:rPr>
        <w:t>. «Estamos muy orgullosos de la opinión positiva del CHMP recibida hoy, ya que refleja nuestro compromiso con el desarrollo de soluciones innovadoras para abordar las más importantes necesidades no cubiertas en el tratamiento del cáncer, y nos acerca un poco más al objetivo de ofrecer una nueva e importante opción para los pacientes y las familias cuyas vidas se ven afectadas por el cáncer de mama metastásico RE+, HER2- con mutación en ESR1».</w:t>
      </w:r>
    </w:p>
    <w:p w14:paraId="0D82E21F"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71296B2B"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La opinión positiva del CHMP para ORSERDU está respaldada por los datos procedentes del ensayo de fase 3 EMERALD, que demostró una supervivencia libre de progresión (SLP) estadísticamente significativa con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frente al tratamiento de referencia (</w:t>
      </w:r>
      <w:proofErr w:type="spellStart"/>
      <w:r w:rsidRPr="00A66D1D">
        <w:rPr>
          <w:rFonts w:ascii="Quattrocento Sans" w:eastAsia="Quattrocento Sans" w:hAnsi="Quattrocento Sans" w:cs="Quattrocento Sans"/>
          <w:sz w:val="22"/>
          <w:szCs w:val="22"/>
        </w:rPr>
        <w:t>TdR</w:t>
      </w:r>
      <w:proofErr w:type="spellEnd"/>
      <w:r w:rsidRPr="00A66D1D">
        <w:rPr>
          <w:rFonts w:ascii="Quattrocento Sans" w:eastAsia="Quattrocento Sans" w:hAnsi="Quattrocento Sans" w:cs="Quattrocento Sans"/>
          <w:sz w:val="22"/>
          <w:szCs w:val="22"/>
        </w:rPr>
        <w:t xml:space="preserve">), que se define como la elección del investigador de una monoterapia endocrina autorizada. Los criterios principales de valoración del estudio fueron SLP en la población global de pacientes y en sujetos con mutaciones en ESR1. En el grupo de pacientes con tumores que presentan mutaciones en ESR1,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logró una mediana de la SLP de 3,8 meses comparado con los 1,9 meses con el </w:t>
      </w:r>
      <w:proofErr w:type="spellStart"/>
      <w:r w:rsidRPr="00A66D1D">
        <w:rPr>
          <w:rFonts w:ascii="Quattrocento Sans" w:eastAsia="Quattrocento Sans" w:hAnsi="Quattrocento Sans" w:cs="Quattrocento Sans"/>
          <w:sz w:val="22"/>
          <w:szCs w:val="22"/>
        </w:rPr>
        <w:t>TdR</w:t>
      </w:r>
      <w:proofErr w:type="spellEnd"/>
      <w:r w:rsidRPr="00A66D1D">
        <w:rPr>
          <w:rFonts w:ascii="Quattrocento Sans" w:eastAsia="Quattrocento Sans" w:hAnsi="Quattrocento Sans" w:cs="Quattrocento Sans"/>
          <w:sz w:val="22"/>
          <w:szCs w:val="22"/>
        </w:rPr>
        <w:t xml:space="preserve">, y redujo el riesgo de progresión o muerte un 45% (SLP HR = 0,55; IC del 95%: 0,39-0,77) frente al </w:t>
      </w:r>
      <w:proofErr w:type="spellStart"/>
      <w:r w:rsidRPr="00A66D1D">
        <w:rPr>
          <w:rFonts w:ascii="Quattrocento Sans" w:eastAsia="Quattrocento Sans" w:hAnsi="Quattrocento Sans" w:cs="Quattrocento Sans"/>
          <w:sz w:val="22"/>
          <w:szCs w:val="22"/>
        </w:rPr>
        <w:t>TdR</w:t>
      </w:r>
      <w:proofErr w:type="spellEnd"/>
      <w:r w:rsidRPr="00A66D1D">
        <w:rPr>
          <w:rFonts w:ascii="Quattrocento Sans" w:eastAsia="Quattrocento Sans" w:hAnsi="Quattrocento Sans" w:cs="Quattrocento Sans"/>
          <w:sz w:val="22"/>
          <w:szCs w:val="22"/>
        </w:rPr>
        <w:t>.</w:t>
      </w:r>
    </w:p>
    <w:p w14:paraId="5D013B64"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13506564"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Un análisis por subgrupos post hoc de los resultados de SLP de EMERALD, presentados en el Simposio sobre cáncer de mama de San Antonio (SABCS) 2022, demostró que la duración de un tratamiento previo con iCDK4/6i se asociaba positivamente a una mayor SLP con </w:t>
      </w:r>
      <w:proofErr w:type="spellStart"/>
      <w:proofErr w:type="gramStart"/>
      <w:r w:rsidRPr="00A66D1D">
        <w:rPr>
          <w:rFonts w:ascii="Quattrocento Sans" w:eastAsia="Quattrocento Sans" w:hAnsi="Quattrocento Sans" w:cs="Quattrocento Sans"/>
          <w:sz w:val="22"/>
          <w:szCs w:val="22"/>
        </w:rPr>
        <w:t>elacestrant</w:t>
      </w:r>
      <w:proofErr w:type="spellEnd"/>
      <w:proofErr w:type="gramEnd"/>
      <w:r w:rsidRPr="00A66D1D">
        <w:rPr>
          <w:rFonts w:ascii="Quattrocento Sans" w:eastAsia="Quattrocento Sans" w:hAnsi="Quattrocento Sans" w:cs="Quattrocento Sans"/>
          <w:sz w:val="22"/>
          <w:szCs w:val="22"/>
        </w:rPr>
        <w:t xml:space="preserve"> pero no con el </w:t>
      </w:r>
      <w:proofErr w:type="spellStart"/>
      <w:r w:rsidRPr="00A66D1D">
        <w:rPr>
          <w:rFonts w:ascii="Quattrocento Sans" w:eastAsia="Quattrocento Sans" w:hAnsi="Quattrocento Sans" w:cs="Quattrocento Sans"/>
          <w:sz w:val="22"/>
          <w:szCs w:val="22"/>
        </w:rPr>
        <w:t>TdR</w:t>
      </w:r>
      <w:proofErr w:type="spellEnd"/>
      <w:r w:rsidRPr="00A66D1D">
        <w:rPr>
          <w:rFonts w:ascii="Quattrocento Sans" w:eastAsia="Quattrocento Sans" w:hAnsi="Quattrocento Sans" w:cs="Quattrocento Sans"/>
          <w:sz w:val="22"/>
          <w:szCs w:val="22"/>
        </w:rPr>
        <w:t xml:space="preserve">. En pacientes con mutaciones en ESR1 tratados con iCDK4/6 durante </w:t>
      </w:r>
      <w:r w:rsidRPr="00A66D1D">
        <w:rPr>
          <w:rFonts w:ascii="Arial" w:eastAsia="Quattrocento Sans" w:hAnsi="Arial" w:cs="Arial"/>
          <w:sz w:val="22"/>
          <w:szCs w:val="22"/>
        </w:rPr>
        <w:t>≥</w:t>
      </w:r>
      <w:r w:rsidRPr="00A66D1D">
        <w:rPr>
          <w:rFonts w:ascii="Quattrocento Sans" w:eastAsia="Quattrocento Sans" w:hAnsi="Quattrocento Sans" w:cs="Quattrocento Sans"/>
          <w:sz w:val="22"/>
          <w:szCs w:val="22"/>
        </w:rPr>
        <w:t xml:space="preserve"> 12 meses antes de la aleatorización en EMERALD,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logró una mediana de la SLP de 8,6 meses frente a los 1,9 meses con el </w:t>
      </w:r>
      <w:proofErr w:type="spellStart"/>
      <w:r w:rsidRPr="00A66D1D">
        <w:rPr>
          <w:rFonts w:ascii="Quattrocento Sans" w:eastAsia="Quattrocento Sans" w:hAnsi="Quattrocento Sans" w:cs="Quattrocento Sans"/>
          <w:sz w:val="22"/>
          <w:szCs w:val="22"/>
        </w:rPr>
        <w:t>TdR</w:t>
      </w:r>
      <w:proofErr w:type="spellEnd"/>
      <w:r w:rsidRPr="00A66D1D">
        <w:rPr>
          <w:rFonts w:ascii="Quattrocento Sans" w:eastAsia="Quattrocento Sans" w:hAnsi="Quattrocento Sans" w:cs="Quattrocento Sans"/>
          <w:sz w:val="22"/>
          <w:szCs w:val="22"/>
        </w:rPr>
        <w:t>, con una reducción del riesgo de progresión o muerte del 59% (HR = 0,41; IC del 95%: 0,26-0,</w:t>
      </w:r>
      <w:proofErr w:type="gramStart"/>
      <w:r w:rsidRPr="00A66D1D">
        <w:rPr>
          <w:rFonts w:ascii="Quattrocento Sans" w:eastAsia="Quattrocento Sans" w:hAnsi="Quattrocento Sans" w:cs="Quattrocento Sans"/>
          <w:sz w:val="22"/>
          <w:szCs w:val="22"/>
        </w:rPr>
        <w:t>63)³</w:t>
      </w:r>
      <w:proofErr w:type="gramEnd"/>
      <w:r w:rsidRPr="00A66D1D">
        <w:rPr>
          <w:rFonts w:ascii="Quattrocento Sans" w:eastAsia="Quattrocento Sans" w:hAnsi="Quattrocento Sans" w:cs="Quattrocento Sans"/>
          <w:sz w:val="22"/>
          <w:szCs w:val="22"/>
        </w:rPr>
        <w:t>.</w:t>
      </w:r>
    </w:p>
    <w:p w14:paraId="0E4E5CB0"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6F46779E"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«Como oncólogo, resulta extraordinario pensar que nos encontramos a punto de disponer de la primera opción de tratamiento para pacientes con cáncer de mama metastásico o avanzado RE+, HER2- con mutaciones en ESR1, lo que se observa en hasta el 40% de los pacientes en el entorno metastásico», dijo el Dr. Giuseppe </w:t>
      </w:r>
      <w:proofErr w:type="spellStart"/>
      <w:r w:rsidRPr="00A66D1D">
        <w:rPr>
          <w:rFonts w:ascii="Quattrocento Sans" w:eastAsia="Quattrocento Sans" w:hAnsi="Quattrocento Sans" w:cs="Quattrocento Sans"/>
          <w:sz w:val="22"/>
          <w:szCs w:val="22"/>
        </w:rPr>
        <w:t>Curigliano</w:t>
      </w:r>
      <w:proofErr w:type="spellEnd"/>
      <w:r w:rsidRPr="00A66D1D">
        <w:rPr>
          <w:rFonts w:ascii="Quattrocento Sans" w:eastAsia="Quattrocento Sans" w:hAnsi="Quattrocento Sans" w:cs="Quattrocento Sans"/>
          <w:sz w:val="22"/>
          <w:szCs w:val="22"/>
        </w:rPr>
        <w:t>, profesor de Oncología Médica en la Universidad de Milán y jefe de la División de Desarrollo Farmacológico Temprano del Instituto Europeo de Oncología, IRCCS, Italia.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ha demostrado su eficacia y un perfil de seguridad controlable, destacando los beneficios potenciales de este tratamiento para los pacientes a los que cuidamos y la comunidad oncológica en general». </w:t>
      </w:r>
    </w:p>
    <w:p w14:paraId="7D67E4A0"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15BAD4A0"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Los datos de seguridad fueron coherentes con los resultados notificados con anterioridad. Las reacciones adversas graves notificadas en </w:t>
      </w:r>
      <w:r w:rsidRPr="00A66D1D">
        <w:rPr>
          <w:rFonts w:ascii="Arial" w:eastAsia="Quattrocento Sans" w:hAnsi="Arial" w:cs="Arial"/>
          <w:sz w:val="22"/>
          <w:szCs w:val="22"/>
        </w:rPr>
        <w:t>≥</w:t>
      </w:r>
      <w:r w:rsidRPr="00A66D1D">
        <w:rPr>
          <w:rFonts w:ascii="Quattrocento Sans" w:eastAsia="Quattrocento Sans" w:hAnsi="Quattrocento Sans" w:cs="Quattrocento Sans"/>
          <w:sz w:val="22"/>
          <w:szCs w:val="22"/>
        </w:rPr>
        <w:t xml:space="preserve"> 1% de los pacientes fueron náuseas, disnea y tromboembolismo (venoso). Las reacciones adversas que aparecieron con más frecuencia (</w:t>
      </w:r>
      <w:r w:rsidRPr="00A66D1D">
        <w:rPr>
          <w:rFonts w:ascii="Arial" w:eastAsia="Quattrocento Sans" w:hAnsi="Arial" w:cs="Arial"/>
          <w:sz w:val="22"/>
          <w:szCs w:val="22"/>
        </w:rPr>
        <w:t>≥</w:t>
      </w:r>
      <w:r w:rsidRPr="00A66D1D">
        <w:rPr>
          <w:rFonts w:ascii="Quattrocento Sans" w:eastAsia="Quattrocento Sans" w:hAnsi="Quattrocento Sans" w:cs="Quattrocento Sans"/>
          <w:sz w:val="22"/>
          <w:szCs w:val="22"/>
        </w:rPr>
        <w:t xml:space="preserve"> 10%) con la administración de ORSERDU fueron náuseas, aumento de los triglicéridos, incremento del colesterol, vómitos, fatiga, dispepsia, diarrea, disminución del calcio, dolor de espalda, aumento de creatinina, artralgia, reducción del sodio, estreñimiento, cefalea, sofocos, anemia, disminución del potasio y aumento de alanina aminotransferasa. Las reacciones adversas de grado </w:t>
      </w:r>
      <w:r w:rsidRPr="00A66D1D">
        <w:rPr>
          <w:rFonts w:ascii="Arial" w:eastAsia="Quattrocento Sans" w:hAnsi="Arial" w:cs="Arial"/>
          <w:sz w:val="22"/>
          <w:szCs w:val="22"/>
        </w:rPr>
        <w:t>≥</w:t>
      </w:r>
      <w:r w:rsidRPr="00A66D1D">
        <w:rPr>
          <w:rFonts w:ascii="Quattrocento Sans" w:eastAsia="Quattrocento Sans" w:hAnsi="Quattrocento Sans" w:cs="Quattrocento Sans"/>
          <w:sz w:val="22"/>
          <w:szCs w:val="22"/>
        </w:rPr>
        <w:t xml:space="preserve"> 3 más frecuentes (</w:t>
      </w:r>
      <w:r w:rsidRPr="00A66D1D">
        <w:rPr>
          <w:rFonts w:ascii="Arial" w:eastAsia="Quattrocento Sans" w:hAnsi="Arial" w:cs="Arial"/>
          <w:sz w:val="22"/>
          <w:szCs w:val="22"/>
        </w:rPr>
        <w:t>≥</w:t>
      </w:r>
      <w:r w:rsidRPr="00A66D1D">
        <w:rPr>
          <w:rFonts w:ascii="Quattrocento Sans" w:eastAsia="Quattrocento Sans" w:hAnsi="Quattrocento Sans" w:cs="Quattrocento Sans"/>
          <w:sz w:val="22"/>
          <w:szCs w:val="22"/>
        </w:rPr>
        <w:t xml:space="preserve"> 2%) de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fueron náuseas (2,7%), aumento de AST (2,7%), incremento de ALT (2,3%), anemia (2%), dolor de espalda (2%) y dolor óseo (2%).</w:t>
      </w:r>
    </w:p>
    <w:p w14:paraId="3B7BB366"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139E2F84" w14:textId="77777777" w:rsidR="00A66D1D" w:rsidRPr="00A66D1D" w:rsidRDefault="00A66D1D" w:rsidP="00A66D1D">
      <w:pPr>
        <w:tabs>
          <w:tab w:val="left" w:pos="6"/>
        </w:tabs>
        <w:jc w:val="both"/>
        <w:rPr>
          <w:rFonts w:ascii="Quattrocento Sans" w:eastAsia="Quattrocento Sans" w:hAnsi="Quattrocento Sans" w:cs="Quattrocento Sans"/>
          <w:b/>
          <w:bCs/>
          <w:sz w:val="22"/>
          <w:szCs w:val="22"/>
        </w:rPr>
      </w:pPr>
      <w:r w:rsidRPr="00A66D1D">
        <w:rPr>
          <w:rFonts w:ascii="Quattrocento Sans" w:eastAsia="Quattrocento Sans" w:hAnsi="Quattrocento Sans" w:cs="Quattrocento Sans"/>
          <w:b/>
          <w:bCs/>
          <w:sz w:val="22"/>
          <w:szCs w:val="22"/>
        </w:rPr>
        <w:t>Acerca del estudio de fase 3 EMERALD (NCT03778931)</w:t>
      </w:r>
    </w:p>
    <w:p w14:paraId="36919E2A"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El ensayo de fase 3 EMERALD es un estudio aleatorizado, abierto, controlado con tratamiento activo que evalúa el uso de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como monoterapia en segunda o tercera línea en pacientes con cáncer de mama metastásico/avanzado RE+, HER2-. El estudio incluyó 478 pacientes con administración previa de una o dos líneas de terapia endocrina, incluyendo un inhibidor de CDK4/6. Los participantes del estudio fueron aleatorizados a recibir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o bien la elección del investigador de un medicamento hormonal autorizado. Los criterios principales de valoración del estudio fueron supervivencia libre de progresión (SLP) en la población global de pacientes y en casos con mutaciones en el gen de receptor de estrógenos 1 (ESR1). En el grupo de pacientes cuyos tumores presentaban mutaciones en ESR1,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logró una mediana de la SLP de 3,8 meses comparado con los 1,9 meses con el </w:t>
      </w:r>
      <w:proofErr w:type="spellStart"/>
      <w:r w:rsidRPr="00A66D1D">
        <w:rPr>
          <w:rFonts w:ascii="Quattrocento Sans" w:eastAsia="Quattrocento Sans" w:hAnsi="Quattrocento Sans" w:cs="Quattrocento Sans"/>
          <w:sz w:val="22"/>
          <w:szCs w:val="22"/>
        </w:rPr>
        <w:t>TdR</w:t>
      </w:r>
      <w:proofErr w:type="spellEnd"/>
      <w:r w:rsidRPr="00A66D1D">
        <w:rPr>
          <w:rFonts w:ascii="Quattrocento Sans" w:eastAsia="Quattrocento Sans" w:hAnsi="Quattrocento Sans" w:cs="Quattrocento Sans"/>
          <w:sz w:val="22"/>
          <w:szCs w:val="22"/>
        </w:rPr>
        <w:t xml:space="preserve">, y redujo el riesgo de progresión o muerte un 45% (SLP HR = 0,55; IC del 95%: 0,39-0,77) frente al </w:t>
      </w:r>
      <w:proofErr w:type="spellStart"/>
      <w:r w:rsidRPr="00A66D1D">
        <w:rPr>
          <w:rFonts w:ascii="Quattrocento Sans" w:eastAsia="Quattrocento Sans" w:hAnsi="Quattrocento Sans" w:cs="Quattrocento Sans"/>
          <w:sz w:val="22"/>
          <w:szCs w:val="22"/>
        </w:rPr>
        <w:t>TdR</w:t>
      </w:r>
      <w:proofErr w:type="spellEnd"/>
      <w:r w:rsidRPr="00A66D1D">
        <w:rPr>
          <w:rFonts w:ascii="Quattrocento Sans" w:eastAsia="Quattrocento Sans" w:hAnsi="Quattrocento Sans" w:cs="Quattrocento Sans"/>
          <w:sz w:val="22"/>
          <w:szCs w:val="22"/>
        </w:rPr>
        <w:t>.</w:t>
      </w:r>
    </w:p>
    <w:p w14:paraId="0B6D887A"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04197449"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también se está investigando en varios ensayos clínicos sobre cáncer de mama metastásico, en monoterapia o en combinación con otros tratamientos: ELEVATE (NCT05563220); ELECTRA (NCT05386108) y ELCIN (NCT05596409). Asimismo, se ha planificado la evaluación de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en cáncer de mama temprano.</w:t>
      </w:r>
    </w:p>
    <w:p w14:paraId="5F8EBE54" w14:textId="77777777" w:rsidR="00A66D1D" w:rsidRPr="00A66D1D" w:rsidRDefault="00A66D1D" w:rsidP="00A66D1D">
      <w:pPr>
        <w:tabs>
          <w:tab w:val="left" w:pos="6"/>
        </w:tabs>
        <w:jc w:val="both"/>
        <w:rPr>
          <w:rFonts w:ascii="Quattrocento Sans" w:eastAsia="Quattrocento Sans" w:hAnsi="Quattrocento Sans" w:cs="Quattrocento Sans"/>
          <w:sz w:val="22"/>
          <w:szCs w:val="22"/>
        </w:rPr>
      </w:pPr>
    </w:p>
    <w:p w14:paraId="6982D455" w14:textId="022883FF" w:rsidR="00ED6BEB" w:rsidRDefault="00A66D1D" w:rsidP="00A66D1D">
      <w:pPr>
        <w:tabs>
          <w:tab w:val="left" w:pos="6"/>
        </w:tabs>
        <w:jc w:val="both"/>
        <w:rPr>
          <w:rFonts w:ascii="Quattrocento Sans" w:eastAsia="Quattrocento Sans" w:hAnsi="Quattrocento Sans" w:cs="Quattrocento Sans"/>
          <w:sz w:val="22"/>
          <w:szCs w:val="22"/>
        </w:rPr>
      </w:pPr>
      <w:r w:rsidRPr="00A66D1D">
        <w:rPr>
          <w:rFonts w:ascii="Quattrocento Sans" w:eastAsia="Quattrocento Sans" w:hAnsi="Quattrocento Sans" w:cs="Quattrocento Sans"/>
          <w:sz w:val="22"/>
          <w:szCs w:val="22"/>
        </w:rPr>
        <w:t xml:space="preserve">Grupo </w:t>
      </w:r>
      <w:proofErr w:type="spellStart"/>
      <w:r w:rsidRPr="00A66D1D">
        <w:rPr>
          <w:rFonts w:ascii="Quattrocento Sans" w:eastAsia="Quattrocento Sans" w:hAnsi="Quattrocento Sans" w:cs="Quattrocento Sans"/>
          <w:sz w:val="22"/>
          <w:szCs w:val="22"/>
        </w:rPr>
        <w:t>Menarini</w:t>
      </w:r>
      <w:proofErr w:type="spellEnd"/>
      <w:r w:rsidRPr="00A66D1D">
        <w:rPr>
          <w:rFonts w:ascii="Quattrocento Sans" w:eastAsia="Quattrocento Sans" w:hAnsi="Quattrocento Sans" w:cs="Quattrocento Sans"/>
          <w:sz w:val="22"/>
          <w:szCs w:val="22"/>
        </w:rPr>
        <w:t xml:space="preserve"> obtuvo los derechos de licencia mundial de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en julio de 2020 de </w:t>
      </w:r>
      <w:proofErr w:type="spellStart"/>
      <w:r w:rsidRPr="00A66D1D">
        <w:rPr>
          <w:rFonts w:ascii="Quattrocento Sans" w:eastAsia="Quattrocento Sans" w:hAnsi="Quattrocento Sans" w:cs="Quattrocento Sans"/>
          <w:sz w:val="22"/>
          <w:szCs w:val="22"/>
        </w:rPr>
        <w:t>Radius</w:t>
      </w:r>
      <w:proofErr w:type="spellEnd"/>
      <w:r w:rsidRPr="00A66D1D">
        <w:rPr>
          <w:rFonts w:ascii="Quattrocento Sans" w:eastAsia="Quattrocento Sans" w:hAnsi="Quattrocento Sans" w:cs="Quattrocento Sans"/>
          <w:sz w:val="22"/>
          <w:szCs w:val="22"/>
        </w:rPr>
        <w:t xml:space="preserve"> </w:t>
      </w:r>
      <w:proofErr w:type="spellStart"/>
      <w:r w:rsidRPr="00A66D1D">
        <w:rPr>
          <w:rFonts w:ascii="Quattrocento Sans" w:eastAsia="Quattrocento Sans" w:hAnsi="Quattrocento Sans" w:cs="Quattrocento Sans"/>
          <w:sz w:val="22"/>
          <w:szCs w:val="22"/>
        </w:rPr>
        <w:t>Health</w:t>
      </w:r>
      <w:proofErr w:type="spellEnd"/>
      <w:r w:rsidRPr="00A66D1D">
        <w:rPr>
          <w:rFonts w:ascii="Quattrocento Sans" w:eastAsia="Quattrocento Sans" w:hAnsi="Quattrocento Sans" w:cs="Quattrocento Sans"/>
          <w:sz w:val="22"/>
          <w:szCs w:val="22"/>
        </w:rPr>
        <w:t xml:space="preserve">, Inc. En la actualidad, Grupo </w:t>
      </w:r>
      <w:proofErr w:type="spellStart"/>
      <w:r w:rsidRPr="00A66D1D">
        <w:rPr>
          <w:rFonts w:ascii="Quattrocento Sans" w:eastAsia="Quattrocento Sans" w:hAnsi="Quattrocento Sans" w:cs="Quattrocento Sans"/>
          <w:sz w:val="22"/>
          <w:szCs w:val="22"/>
        </w:rPr>
        <w:t>Menarini</w:t>
      </w:r>
      <w:proofErr w:type="spellEnd"/>
      <w:r w:rsidRPr="00A66D1D">
        <w:rPr>
          <w:rFonts w:ascii="Quattrocento Sans" w:eastAsia="Quattrocento Sans" w:hAnsi="Quattrocento Sans" w:cs="Quattrocento Sans"/>
          <w:sz w:val="22"/>
          <w:szCs w:val="22"/>
        </w:rPr>
        <w:t xml:space="preserve"> es la compañía responsable del registro internacional, la comercialización y otras actividades de desarrollo de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w:t>
      </w:r>
    </w:p>
    <w:p w14:paraId="45AA347D" w14:textId="77777777" w:rsidR="00A66D1D" w:rsidRDefault="00A66D1D" w:rsidP="00A66D1D">
      <w:pPr>
        <w:tabs>
          <w:tab w:val="left" w:pos="6"/>
        </w:tabs>
        <w:jc w:val="both"/>
        <w:rPr>
          <w:rFonts w:ascii="Quattrocento Sans" w:eastAsia="Quattrocento Sans" w:hAnsi="Quattrocento Sans" w:cs="Quattrocento Sans"/>
          <w:sz w:val="22"/>
          <w:szCs w:val="22"/>
        </w:rPr>
      </w:pPr>
    </w:p>
    <w:p w14:paraId="16EDF65A" w14:textId="77777777" w:rsidR="00A66D1D" w:rsidRPr="00A66D1D" w:rsidRDefault="00A66D1D" w:rsidP="00A66D1D">
      <w:pPr>
        <w:tabs>
          <w:tab w:val="left" w:pos="6"/>
        </w:tabs>
        <w:jc w:val="both"/>
        <w:rPr>
          <w:rFonts w:ascii="Quattrocento Sans" w:eastAsia="Quattrocento Sans" w:hAnsi="Quattrocento Sans" w:cs="Quattrocento Sans"/>
          <w:b/>
          <w:bCs/>
          <w:sz w:val="22"/>
          <w:szCs w:val="22"/>
        </w:rPr>
      </w:pPr>
      <w:r w:rsidRPr="00A66D1D">
        <w:rPr>
          <w:rFonts w:ascii="Quattrocento Sans" w:eastAsia="Quattrocento Sans" w:hAnsi="Quattrocento Sans" w:cs="Quattrocento Sans"/>
          <w:b/>
          <w:bCs/>
          <w:sz w:val="22"/>
          <w:szCs w:val="22"/>
        </w:rPr>
        <w:t xml:space="preserve">Acerca de </w:t>
      </w:r>
      <w:proofErr w:type="spellStart"/>
      <w:r w:rsidRPr="00A66D1D">
        <w:rPr>
          <w:rFonts w:ascii="Quattrocento Sans" w:eastAsia="Quattrocento Sans" w:hAnsi="Quattrocento Sans" w:cs="Quattrocento Sans"/>
          <w:b/>
          <w:bCs/>
          <w:sz w:val="22"/>
          <w:szCs w:val="22"/>
        </w:rPr>
        <w:t>Stemline</w:t>
      </w:r>
      <w:proofErr w:type="spellEnd"/>
      <w:r w:rsidRPr="00A66D1D">
        <w:rPr>
          <w:rFonts w:ascii="Quattrocento Sans" w:eastAsia="Quattrocento Sans" w:hAnsi="Quattrocento Sans" w:cs="Quattrocento Sans"/>
          <w:b/>
          <w:bCs/>
          <w:sz w:val="22"/>
          <w:szCs w:val="22"/>
        </w:rPr>
        <w:t xml:space="preserve"> </w:t>
      </w:r>
      <w:proofErr w:type="spellStart"/>
      <w:r w:rsidRPr="00A66D1D">
        <w:rPr>
          <w:rFonts w:ascii="Quattrocento Sans" w:eastAsia="Quattrocento Sans" w:hAnsi="Quattrocento Sans" w:cs="Quattrocento Sans"/>
          <w:b/>
          <w:bCs/>
          <w:sz w:val="22"/>
          <w:szCs w:val="22"/>
        </w:rPr>
        <w:t>Therapeutics</w:t>
      </w:r>
      <w:proofErr w:type="spellEnd"/>
      <w:r w:rsidRPr="00A66D1D">
        <w:rPr>
          <w:rFonts w:ascii="Quattrocento Sans" w:eastAsia="Quattrocento Sans" w:hAnsi="Quattrocento Sans" w:cs="Quattrocento Sans"/>
          <w:b/>
          <w:bCs/>
          <w:sz w:val="22"/>
          <w:szCs w:val="22"/>
        </w:rPr>
        <w:t xml:space="preserve"> Inc.</w:t>
      </w:r>
    </w:p>
    <w:p w14:paraId="4E7A897D" w14:textId="4210A3E7" w:rsidR="00A66D1D" w:rsidRDefault="00A66D1D" w:rsidP="00A66D1D">
      <w:pPr>
        <w:tabs>
          <w:tab w:val="left" w:pos="6"/>
        </w:tabs>
        <w:jc w:val="both"/>
        <w:rPr>
          <w:rFonts w:ascii="Quattrocento Sans" w:eastAsia="Quattrocento Sans" w:hAnsi="Quattrocento Sans" w:cs="Quattrocento Sans"/>
          <w:sz w:val="22"/>
          <w:szCs w:val="22"/>
        </w:rPr>
      </w:pP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w:t>
      </w:r>
      <w:proofErr w:type="spellStart"/>
      <w:r w:rsidRPr="00A66D1D">
        <w:rPr>
          <w:rFonts w:ascii="Quattrocento Sans" w:eastAsia="Quattrocento Sans" w:hAnsi="Quattrocento Sans" w:cs="Quattrocento Sans"/>
          <w:sz w:val="22"/>
          <w:szCs w:val="22"/>
        </w:rPr>
        <w:t>Therapeutics</w:t>
      </w:r>
      <w:proofErr w:type="spellEnd"/>
      <w:r w:rsidRPr="00A66D1D">
        <w:rPr>
          <w:rFonts w:ascii="Quattrocento Sans" w:eastAsia="Quattrocento Sans" w:hAnsi="Quattrocento Sans" w:cs="Quattrocento Sans"/>
          <w:sz w:val="22"/>
          <w:szCs w:val="22"/>
        </w:rPr>
        <w:t>, Inc.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una filial propiedad de Grupo </w:t>
      </w:r>
      <w:proofErr w:type="spellStart"/>
      <w:r w:rsidRPr="00A66D1D">
        <w:rPr>
          <w:rFonts w:ascii="Quattrocento Sans" w:eastAsia="Quattrocento Sans" w:hAnsi="Quattrocento Sans" w:cs="Quattrocento Sans"/>
          <w:sz w:val="22"/>
          <w:szCs w:val="22"/>
        </w:rPr>
        <w:t>Menarini</w:t>
      </w:r>
      <w:proofErr w:type="spellEnd"/>
      <w:r w:rsidRPr="00A66D1D">
        <w:rPr>
          <w:rFonts w:ascii="Quattrocento Sans" w:eastAsia="Quattrocento Sans" w:hAnsi="Quattrocento Sans" w:cs="Quattrocento Sans"/>
          <w:sz w:val="22"/>
          <w:szCs w:val="22"/>
        </w:rPr>
        <w:t xml:space="preserve">, es una compañía biofarmacéutica en etapa comercial centrada en el desarrollo y la comercialización de novedosas terapias oncológicas.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comercializa ORSERDU® (</w:t>
      </w:r>
      <w:proofErr w:type="spellStart"/>
      <w:r w:rsidRPr="00A66D1D">
        <w:rPr>
          <w:rFonts w:ascii="Quattrocento Sans" w:eastAsia="Quattrocento Sans" w:hAnsi="Quattrocento Sans" w:cs="Quattrocento Sans"/>
          <w:sz w:val="22"/>
          <w:szCs w:val="22"/>
        </w:rPr>
        <w:t>elacestrant</w:t>
      </w:r>
      <w:proofErr w:type="spellEnd"/>
      <w:r w:rsidRPr="00A66D1D">
        <w:rPr>
          <w:rFonts w:ascii="Quattrocento Sans" w:eastAsia="Quattrocento Sans" w:hAnsi="Quattrocento Sans" w:cs="Quattrocento Sans"/>
          <w:sz w:val="22"/>
          <w:szCs w:val="22"/>
        </w:rPr>
        <w:t xml:space="preserve">) en Estados Unidos, una terapia endocrina oral indicada para el tratamiento de mujeres posmenopáusicas o varones adultos con cáncer de mama metastásico o avanzado con receptor de estrógenos (RE) positivo, receptor del factor de crecimiento epidérmico humano 2 (HER2) negativo y mutación en ESR1, que presentan progresión de la enfermedad después de recibir al menos una línea de terapia endocrina.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también comercializa ELZONRIS® (</w:t>
      </w:r>
      <w:proofErr w:type="spellStart"/>
      <w:r w:rsidRPr="00A66D1D">
        <w:rPr>
          <w:rFonts w:ascii="Quattrocento Sans" w:eastAsia="Quattrocento Sans" w:hAnsi="Quattrocento Sans" w:cs="Quattrocento Sans"/>
          <w:sz w:val="22"/>
          <w:szCs w:val="22"/>
        </w:rPr>
        <w:t>tagraxofusp-erzs</w:t>
      </w:r>
      <w:proofErr w:type="spellEnd"/>
      <w:r w:rsidRPr="00A66D1D">
        <w:rPr>
          <w:rFonts w:ascii="Quattrocento Sans" w:eastAsia="Quattrocento Sans" w:hAnsi="Quattrocento Sans" w:cs="Quattrocento Sans"/>
          <w:sz w:val="22"/>
          <w:szCs w:val="22"/>
        </w:rPr>
        <w:t xml:space="preserve">), un novedoso tratamiento dirigido directamente a CD123 para pacientes con neoplasia de células dendríticas </w:t>
      </w:r>
      <w:proofErr w:type="spellStart"/>
      <w:r w:rsidRPr="00A66D1D">
        <w:rPr>
          <w:rFonts w:ascii="Quattrocento Sans" w:eastAsia="Quattrocento Sans" w:hAnsi="Quattrocento Sans" w:cs="Quattrocento Sans"/>
          <w:sz w:val="22"/>
          <w:szCs w:val="22"/>
        </w:rPr>
        <w:t>plasmocitoides</w:t>
      </w:r>
      <w:proofErr w:type="spellEnd"/>
      <w:r w:rsidRPr="00A66D1D">
        <w:rPr>
          <w:rFonts w:ascii="Quattrocento Sans" w:eastAsia="Quattrocento Sans" w:hAnsi="Quattrocento Sans" w:cs="Quattrocento Sans"/>
          <w:sz w:val="22"/>
          <w:szCs w:val="22"/>
        </w:rPr>
        <w:t xml:space="preserve"> blásticas (NCDPB), un cáncer hematológico agresivo, en Estados Unidos y Europa, siendo la única terapia autorizada para NCDPB en EE. UU. y la UE hasta la fecha.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también comercializa </w:t>
      </w:r>
      <w:proofErr w:type="spellStart"/>
      <w:r w:rsidRPr="00A66D1D">
        <w:rPr>
          <w:rFonts w:ascii="Quattrocento Sans" w:eastAsia="Quattrocento Sans" w:hAnsi="Quattrocento Sans" w:cs="Quattrocento Sans"/>
          <w:sz w:val="22"/>
          <w:szCs w:val="22"/>
        </w:rPr>
        <w:t>Nexpovio</w:t>
      </w:r>
      <w:proofErr w:type="spellEnd"/>
      <w:r w:rsidRPr="00A66D1D">
        <w:rPr>
          <w:rFonts w:ascii="Quattrocento Sans" w:eastAsia="Quattrocento Sans" w:hAnsi="Quattrocento Sans" w:cs="Quattrocento Sans"/>
          <w:sz w:val="22"/>
          <w:szCs w:val="22"/>
        </w:rPr>
        <w:t xml:space="preserve">® en Europa, un inhibidor de XPO1 para el mieloma múltiple. Además, </w:t>
      </w:r>
      <w:proofErr w:type="spellStart"/>
      <w:r w:rsidRPr="00A66D1D">
        <w:rPr>
          <w:rFonts w:ascii="Quattrocento Sans" w:eastAsia="Quattrocento Sans" w:hAnsi="Quattrocento Sans" w:cs="Quattrocento Sans"/>
          <w:sz w:val="22"/>
          <w:szCs w:val="22"/>
        </w:rPr>
        <w:t>Stemline</w:t>
      </w:r>
      <w:proofErr w:type="spellEnd"/>
      <w:r w:rsidRPr="00A66D1D">
        <w:rPr>
          <w:rFonts w:ascii="Quattrocento Sans" w:eastAsia="Quattrocento Sans" w:hAnsi="Quattrocento Sans" w:cs="Quattrocento Sans"/>
          <w:sz w:val="22"/>
          <w:szCs w:val="22"/>
        </w:rPr>
        <w:t xml:space="preserve"> dispone de una amplia cartera clínica de moléculas pequeñas y medicamentos biológicos en varios estadios de desarrollo para casos con cáncer sólido y hematológico.</w:t>
      </w:r>
    </w:p>
    <w:p w14:paraId="1D81127D" w14:textId="456A8466" w:rsidR="004855A5" w:rsidRDefault="004855A5">
      <w:pPr>
        <w:tabs>
          <w:tab w:val="left" w:pos="6"/>
        </w:tabs>
        <w:jc w:val="both"/>
        <w:rPr>
          <w:rFonts w:ascii="Quattrocento Sans" w:eastAsia="Quattrocento Sans" w:hAnsi="Quattrocento Sans" w:cs="Quattrocento Sans"/>
          <w:sz w:val="22"/>
          <w:szCs w:val="22"/>
        </w:rPr>
      </w:pPr>
    </w:p>
    <w:p w14:paraId="4E53E81C" w14:textId="5838FE4F" w:rsidR="00FB0362" w:rsidRPr="004855A5" w:rsidRDefault="000237F0">
      <w:pPr>
        <w:tabs>
          <w:tab w:val="left" w:pos="6"/>
        </w:tabs>
        <w:jc w:val="both"/>
        <w:rPr>
          <w:rFonts w:ascii="Quattrocento Sans" w:eastAsia="Quattrocento Sans" w:hAnsi="Quattrocento Sans" w:cs="Quattrocento Sans"/>
          <w:sz w:val="22"/>
          <w:szCs w:val="22"/>
        </w:rPr>
      </w:pPr>
      <w:r>
        <w:rPr>
          <w:rFonts w:ascii="Quattrocento Sans" w:eastAsia="Quattrocento Sans" w:hAnsi="Quattrocento Sans" w:cs="Quattrocento Sans"/>
          <w:b/>
          <w:color w:val="000000"/>
          <w:sz w:val="22"/>
          <w:szCs w:val="22"/>
        </w:rPr>
        <w:t xml:space="preserve">Acerca de </w:t>
      </w:r>
      <w:proofErr w:type="spellStart"/>
      <w:r>
        <w:rPr>
          <w:rFonts w:ascii="Quattrocento Sans" w:eastAsia="Quattrocento Sans" w:hAnsi="Quattrocento Sans" w:cs="Quattrocento Sans"/>
          <w:b/>
          <w:color w:val="000000"/>
          <w:sz w:val="22"/>
          <w:szCs w:val="22"/>
        </w:rPr>
        <w:t>Menarini</w:t>
      </w:r>
      <w:proofErr w:type="spellEnd"/>
      <w:r>
        <w:rPr>
          <w:rFonts w:ascii="Quattrocento Sans" w:eastAsia="Quattrocento Sans" w:hAnsi="Quattrocento Sans" w:cs="Quattrocento Sans"/>
          <w:b/>
          <w:color w:val="000000"/>
          <w:sz w:val="22"/>
          <w:szCs w:val="22"/>
        </w:rPr>
        <w:t xml:space="preserve"> España</w:t>
      </w:r>
    </w:p>
    <w:p w14:paraId="5CE9DDAB" w14:textId="48629DB6" w:rsidR="00A66D1D" w:rsidRPr="00A66D1D" w:rsidRDefault="000237F0">
      <w:pPr>
        <w:tabs>
          <w:tab w:val="left" w:pos="6"/>
        </w:tabs>
        <w:jc w:val="both"/>
        <w:rPr>
          <w:rFonts w:ascii="Quattrocento Sans" w:eastAsia="Quattrocento Sans" w:hAnsi="Quattrocento Sans" w:cs="Quattrocento Sans"/>
          <w:color w:val="000000"/>
          <w:sz w:val="22"/>
          <w:szCs w:val="22"/>
          <w:lang w:val="es-ES_tradnl"/>
        </w:rPr>
      </w:pPr>
      <w:proofErr w:type="spellStart"/>
      <w:r>
        <w:rPr>
          <w:rFonts w:ascii="Quattrocento Sans" w:eastAsia="Quattrocento Sans" w:hAnsi="Quattrocento Sans" w:cs="Quattrocento Sans"/>
          <w:color w:val="000000"/>
          <w:sz w:val="22"/>
          <w:szCs w:val="22"/>
        </w:rPr>
        <w:t>Menarini</w:t>
      </w:r>
      <w:proofErr w:type="spellEnd"/>
      <w:r>
        <w:rPr>
          <w:rFonts w:ascii="Quattrocento Sans" w:eastAsia="Quattrocento Sans" w:hAnsi="Quattrocento Sans" w:cs="Quattrocento Sans"/>
          <w:color w:val="000000"/>
          <w:sz w:val="22"/>
          <w:szCs w:val="22"/>
        </w:rPr>
        <w:t xml:space="preserve"> es un grupo farmacéutico internacional con más de 135 años de historia que está presente en más de 136 países de todo el mundo. </w:t>
      </w:r>
      <w:proofErr w:type="spellStart"/>
      <w:r>
        <w:rPr>
          <w:rFonts w:ascii="Quattrocento Sans" w:eastAsia="Quattrocento Sans" w:hAnsi="Quattrocento Sans" w:cs="Quattrocento Sans"/>
          <w:color w:val="000000"/>
          <w:sz w:val="22"/>
          <w:szCs w:val="22"/>
        </w:rPr>
        <w:t>Menarini</w:t>
      </w:r>
      <w:proofErr w:type="spellEnd"/>
      <w:r>
        <w:rPr>
          <w:rFonts w:ascii="Quattrocento Sans" w:eastAsia="Quattrocento Sans" w:hAnsi="Quattrocento Sans" w:cs="Quattrocento Sans"/>
          <w:color w:val="000000"/>
          <w:sz w:val="22"/>
          <w:szCs w:val="22"/>
        </w:rPr>
        <w:t xml:space="preserve"> España es una de las filiales estratégicas del grupo, con una producción de 58 millones de unidades de medicamentos al año y una plantilla de 760 trabajadores y trabajadoras. Su sede en Badalona, con una superficie de 13.000 m2, incluye la planta de producción y uno de los siete centros de I+D+i que Grupo </w:t>
      </w:r>
      <w:proofErr w:type="spellStart"/>
      <w:r>
        <w:rPr>
          <w:rFonts w:ascii="Quattrocento Sans" w:eastAsia="Quattrocento Sans" w:hAnsi="Quattrocento Sans" w:cs="Quattrocento Sans"/>
          <w:color w:val="000000"/>
          <w:sz w:val="22"/>
          <w:szCs w:val="22"/>
        </w:rPr>
        <w:t>Menarini</w:t>
      </w:r>
      <w:proofErr w:type="spellEnd"/>
      <w:r>
        <w:rPr>
          <w:rFonts w:ascii="Quattrocento Sans" w:eastAsia="Quattrocento Sans" w:hAnsi="Quattrocento Sans" w:cs="Quattrocento Sans"/>
          <w:color w:val="000000"/>
          <w:sz w:val="22"/>
          <w:szCs w:val="22"/>
        </w:rPr>
        <w:t xml:space="preserve"> Internacional tiene en todo el mundo. </w:t>
      </w:r>
      <w:proofErr w:type="spellStart"/>
      <w:r>
        <w:rPr>
          <w:rFonts w:ascii="Quattrocento Sans" w:eastAsia="Quattrocento Sans" w:hAnsi="Quattrocento Sans" w:cs="Quattrocento Sans"/>
          <w:color w:val="000000"/>
          <w:sz w:val="22"/>
          <w:szCs w:val="22"/>
        </w:rPr>
        <w:t>Menarini</w:t>
      </w:r>
      <w:proofErr w:type="spellEnd"/>
      <w:r>
        <w:rPr>
          <w:rFonts w:ascii="Quattrocento Sans" w:eastAsia="Quattrocento Sans" w:hAnsi="Quattrocento Sans" w:cs="Quattrocento Sans"/>
          <w:color w:val="000000"/>
          <w:sz w:val="22"/>
          <w:szCs w:val="22"/>
        </w:rPr>
        <w:t xml:space="preserve">, presente en España desde hace 55 años, se sitúa entre las 15 primeras empresas del sector farmacéutico español. En 1979 </w:t>
      </w:r>
      <w:proofErr w:type="spellStart"/>
      <w:r>
        <w:rPr>
          <w:rFonts w:ascii="Quattrocento Sans" w:eastAsia="Quattrocento Sans" w:hAnsi="Quattrocento Sans" w:cs="Quattrocento Sans"/>
          <w:color w:val="000000"/>
          <w:sz w:val="22"/>
          <w:szCs w:val="22"/>
        </w:rPr>
        <w:t>Menarini</w:t>
      </w:r>
      <w:proofErr w:type="spellEnd"/>
      <w:r>
        <w:rPr>
          <w:rFonts w:ascii="Quattrocento Sans" w:eastAsia="Quattrocento Sans" w:hAnsi="Quattrocento Sans" w:cs="Quattrocento Sans"/>
          <w:color w:val="000000"/>
          <w:sz w:val="22"/>
          <w:szCs w:val="22"/>
        </w:rPr>
        <w:t xml:space="preserve"> decidió expandir su actividad a Latinoamérica, hoy en día está presente con filiales en México, Colombia, Perú, y Centroamérica y el Caribe; asimismo gracias a acuerdos </w:t>
      </w:r>
      <w:r>
        <w:rPr>
          <w:rFonts w:ascii="Quattrocento Sans" w:eastAsia="Quattrocento Sans" w:hAnsi="Quattrocento Sans" w:cs="Quattrocento Sans"/>
          <w:color w:val="000000"/>
          <w:sz w:val="22"/>
          <w:szCs w:val="22"/>
        </w:rPr>
        <w:lastRenderedPageBreak/>
        <w:t>comerciales, también se distribuyen productos en Argentina, Brasil, Chile y Ecuador.</w:t>
      </w:r>
    </w:p>
    <w:p w14:paraId="0174F12C" w14:textId="77777777" w:rsidR="00FB0362" w:rsidRDefault="00FB0362">
      <w:pPr>
        <w:tabs>
          <w:tab w:val="left" w:pos="6"/>
        </w:tabs>
        <w:jc w:val="both"/>
        <w:rPr>
          <w:rFonts w:ascii="Quattrocento Sans" w:eastAsia="Quattrocento Sans" w:hAnsi="Quattrocento Sans" w:cs="Quattrocento Sans"/>
          <w:color w:val="000000"/>
          <w:sz w:val="22"/>
          <w:szCs w:val="22"/>
        </w:rPr>
      </w:pPr>
    </w:p>
    <w:p w14:paraId="7E54D755" w14:textId="77777777" w:rsidR="00FB0362" w:rsidRDefault="000237F0">
      <w:pPr>
        <w:tabs>
          <w:tab w:val="left" w:pos="6"/>
        </w:tabs>
        <w:jc w:val="both"/>
        <w:rPr>
          <w:rFonts w:ascii="Quattrocento Sans" w:eastAsia="Quattrocento Sans" w:hAnsi="Quattrocento Sans" w:cs="Quattrocento Sans"/>
          <w:b/>
          <w:color w:val="000000"/>
          <w:sz w:val="22"/>
          <w:szCs w:val="22"/>
        </w:rPr>
      </w:pPr>
      <w:r>
        <w:rPr>
          <w:rFonts w:ascii="Quattrocento Sans" w:eastAsia="Quattrocento Sans" w:hAnsi="Quattrocento Sans" w:cs="Quattrocento Sans"/>
          <w:b/>
          <w:color w:val="000000"/>
          <w:sz w:val="22"/>
          <w:szCs w:val="22"/>
        </w:rPr>
        <w:t>Comunicación</w:t>
      </w:r>
    </w:p>
    <w:p w14:paraId="17D5DA7C" w14:textId="77777777" w:rsidR="00FB0362" w:rsidRDefault="000237F0">
      <w:pPr>
        <w:tabs>
          <w:tab w:val="left" w:pos="6"/>
        </w:tabs>
        <w:jc w:val="both"/>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Esperamos haberte sido de ayuda. Si necesitas otro material, no dudes en contactar con nosotros. Somos Sonsoles Pérez (</w:t>
      </w:r>
      <w:hyperlink r:id="rId8">
        <w:r>
          <w:rPr>
            <w:rFonts w:ascii="Quattrocento Sans" w:eastAsia="Quattrocento Sans" w:hAnsi="Quattrocento Sans" w:cs="Quattrocento Sans"/>
            <w:color w:val="0000FF"/>
            <w:sz w:val="22"/>
            <w:szCs w:val="22"/>
            <w:u w:val="single"/>
          </w:rPr>
          <w:t>sonsoles.perez@alabra.es</w:t>
        </w:r>
      </w:hyperlink>
      <w:r>
        <w:rPr>
          <w:rFonts w:ascii="Quattrocento Sans" w:eastAsia="Quattrocento Sans" w:hAnsi="Quattrocento Sans" w:cs="Quattrocento Sans"/>
          <w:color w:val="000000"/>
          <w:sz w:val="22"/>
          <w:szCs w:val="22"/>
        </w:rPr>
        <w:t>) y Santiago Aparicio (</w:t>
      </w:r>
      <w:hyperlink r:id="rId9">
        <w:r>
          <w:rPr>
            <w:rFonts w:ascii="Quattrocento Sans" w:eastAsia="Quattrocento Sans" w:hAnsi="Quattrocento Sans" w:cs="Quattrocento Sans"/>
            <w:color w:val="0000FF"/>
            <w:sz w:val="22"/>
            <w:szCs w:val="22"/>
            <w:u w:val="single"/>
          </w:rPr>
          <w:t>santiago.aparicio@alabra.es</w:t>
        </w:r>
      </w:hyperlink>
      <w:r>
        <w:rPr>
          <w:rFonts w:ascii="Quattrocento Sans" w:eastAsia="Quattrocento Sans" w:hAnsi="Quattrocento Sans" w:cs="Quattrocento Sans"/>
          <w:color w:val="000000"/>
          <w:sz w:val="22"/>
          <w:szCs w:val="22"/>
        </w:rPr>
        <w:t xml:space="preserve">) de </w:t>
      </w:r>
      <w:proofErr w:type="spellStart"/>
      <w:r>
        <w:rPr>
          <w:rFonts w:ascii="Quattrocento Sans" w:eastAsia="Quattrocento Sans" w:hAnsi="Quattrocento Sans" w:cs="Quattrocento Sans"/>
          <w:color w:val="000000"/>
          <w:sz w:val="22"/>
          <w:szCs w:val="22"/>
        </w:rPr>
        <w:t>Alabra</w:t>
      </w:r>
      <w:proofErr w:type="spellEnd"/>
      <w:r>
        <w:rPr>
          <w:rFonts w:ascii="Quattrocento Sans" w:eastAsia="Quattrocento Sans" w:hAnsi="Quattrocento Sans" w:cs="Quattrocento Sans"/>
          <w:color w:val="000000"/>
          <w:sz w:val="22"/>
          <w:szCs w:val="22"/>
        </w:rPr>
        <w:t>. Teléfono: 91 787 03 00.</w:t>
      </w:r>
    </w:p>
    <w:p w14:paraId="4907E5D4" w14:textId="77777777" w:rsidR="00A66D1D" w:rsidRDefault="00A66D1D">
      <w:pPr>
        <w:tabs>
          <w:tab w:val="left" w:pos="6"/>
        </w:tabs>
        <w:jc w:val="both"/>
        <w:rPr>
          <w:rFonts w:ascii="Quattrocento Sans" w:eastAsia="Quattrocento Sans" w:hAnsi="Quattrocento Sans" w:cs="Quattrocento Sans"/>
          <w:color w:val="000000"/>
          <w:sz w:val="22"/>
          <w:szCs w:val="22"/>
        </w:rPr>
      </w:pPr>
    </w:p>
    <w:p w14:paraId="1DE1AFD7" w14:textId="77777777" w:rsidR="00A66D1D" w:rsidRDefault="00A66D1D">
      <w:pPr>
        <w:tabs>
          <w:tab w:val="left" w:pos="6"/>
        </w:tabs>
        <w:jc w:val="both"/>
        <w:rPr>
          <w:rFonts w:ascii="Quattrocento Sans" w:eastAsia="Quattrocento Sans" w:hAnsi="Quattrocento Sans" w:cs="Quattrocento Sans"/>
          <w:color w:val="000000"/>
          <w:sz w:val="22"/>
          <w:szCs w:val="22"/>
        </w:rPr>
      </w:pPr>
    </w:p>
    <w:p w14:paraId="7F88909D" w14:textId="77777777" w:rsidR="00A66D1D" w:rsidRPr="00A66D1D" w:rsidRDefault="00A66D1D" w:rsidP="00A66D1D">
      <w:pPr>
        <w:tabs>
          <w:tab w:val="left" w:pos="6"/>
        </w:tabs>
        <w:jc w:val="both"/>
        <w:rPr>
          <w:rFonts w:ascii="Quattrocento Sans" w:eastAsia="Quattrocento Sans" w:hAnsi="Quattrocento Sans" w:cs="Quattrocento Sans"/>
          <w:color w:val="000000"/>
          <w:sz w:val="22"/>
          <w:szCs w:val="22"/>
          <w:lang w:val="en-US"/>
        </w:rPr>
      </w:pPr>
      <w:r w:rsidRPr="00A66D1D">
        <w:rPr>
          <w:rFonts w:ascii="Quattrocento Sans" w:eastAsia="Quattrocento Sans" w:hAnsi="Quattrocento Sans" w:cs="Quattrocento Sans"/>
          <w:color w:val="000000"/>
          <w:sz w:val="22"/>
          <w:szCs w:val="22"/>
          <w:lang w:val="en-US"/>
        </w:rPr>
        <w:t>¹ Decision Resource Group / Clarivate Breast Cancer Landscape / Epidemiology –14 de junio de 2023</w:t>
      </w:r>
    </w:p>
    <w:p w14:paraId="3520CB53" w14:textId="77777777" w:rsidR="00A66D1D" w:rsidRPr="00A66D1D" w:rsidRDefault="00A66D1D" w:rsidP="00A66D1D">
      <w:pPr>
        <w:tabs>
          <w:tab w:val="left" w:pos="6"/>
        </w:tabs>
        <w:jc w:val="both"/>
        <w:rPr>
          <w:rFonts w:ascii="Quattrocento Sans" w:eastAsia="Quattrocento Sans" w:hAnsi="Quattrocento Sans" w:cs="Quattrocento Sans"/>
          <w:color w:val="000000"/>
          <w:sz w:val="22"/>
          <w:szCs w:val="22"/>
          <w:lang w:val="en-US"/>
        </w:rPr>
      </w:pPr>
      <w:r w:rsidRPr="00A66D1D">
        <w:rPr>
          <w:rFonts w:ascii="Quattrocento Sans" w:eastAsia="Quattrocento Sans" w:hAnsi="Quattrocento Sans" w:cs="Quattrocento Sans"/>
          <w:color w:val="000000"/>
          <w:sz w:val="22"/>
          <w:szCs w:val="22"/>
          <w:lang w:val="en-US"/>
        </w:rPr>
        <w:t>² International Agency for Research on Cancer, World Health Organization – Globocan – 2020</w:t>
      </w:r>
    </w:p>
    <w:p w14:paraId="4C375ABB" w14:textId="46250565" w:rsidR="00A66D1D" w:rsidRDefault="00A66D1D" w:rsidP="00A66D1D">
      <w:pPr>
        <w:tabs>
          <w:tab w:val="left" w:pos="6"/>
        </w:tabs>
        <w:jc w:val="both"/>
        <w:rPr>
          <w:rFonts w:ascii="Quattrocento Sans" w:eastAsia="Quattrocento Sans" w:hAnsi="Quattrocento Sans" w:cs="Quattrocento Sans"/>
          <w:color w:val="000000"/>
          <w:sz w:val="22"/>
          <w:szCs w:val="22"/>
        </w:rPr>
      </w:pPr>
      <w:r w:rsidRPr="00A66D1D">
        <w:rPr>
          <w:rFonts w:ascii="Quattrocento Sans" w:eastAsia="Quattrocento Sans" w:hAnsi="Quattrocento Sans" w:cs="Quattrocento Sans"/>
          <w:color w:val="000000"/>
          <w:sz w:val="22"/>
          <w:szCs w:val="22"/>
          <w:lang w:val="en-US"/>
        </w:rPr>
        <w:t xml:space="preserve">³ Bardia et al. EMERALD phase 3 trial of elacestrant versus standard of care endocrine therapy in patients with ER+/HER2- metastatic breast cancer: Updated results by duration of prior CDK4/6i in metastatic setting. </w:t>
      </w:r>
      <w:r w:rsidRPr="00A66D1D">
        <w:rPr>
          <w:rFonts w:ascii="Quattrocento Sans" w:eastAsia="Quattrocento Sans" w:hAnsi="Quattrocento Sans" w:cs="Quattrocento Sans"/>
          <w:color w:val="000000"/>
          <w:sz w:val="22"/>
          <w:szCs w:val="22"/>
        </w:rPr>
        <w:t>SABCS 2022. GS3-01</w:t>
      </w:r>
    </w:p>
    <w:sectPr w:rsidR="00A66D1D" w:rsidSect="0048361A">
      <w:headerReference w:type="even" r:id="rId10"/>
      <w:headerReference w:type="default" r:id="rId11"/>
      <w:footerReference w:type="even" r:id="rId12"/>
      <w:footerReference w:type="default" r:id="rId13"/>
      <w:headerReference w:type="first" r:id="rId14"/>
      <w:footerReference w:type="first" r:id="rId15"/>
      <w:pgSz w:w="11900" w:h="16840"/>
      <w:pgMar w:top="-714" w:right="987" w:bottom="1843" w:left="1134" w:header="856"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56A8" w14:textId="77777777" w:rsidR="000237F0" w:rsidRDefault="000237F0">
      <w:r>
        <w:separator/>
      </w:r>
    </w:p>
  </w:endnote>
  <w:endnote w:type="continuationSeparator" w:id="0">
    <w:p w14:paraId="4F8BF6E4" w14:textId="77777777" w:rsidR="000237F0" w:rsidRDefault="0002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20000007" w:usb1="00000001" w:usb2="00000000" w:usb3="00000000" w:csb0="00000193"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AF63" w14:textId="77777777" w:rsidR="00FB0362" w:rsidRDefault="00FB036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26C7" w14:textId="77777777" w:rsidR="00FB0362" w:rsidRDefault="000237F0">
    <w:pPr>
      <w:tabs>
        <w:tab w:val="center" w:pos="4252"/>
        <w:tab w:val="right" w:pos="8504"/>
      </w:tabs>
      <w:ind w:left="-851"/>
    </w:pPr>
    <w:r>
      <w:rPr>
        <w:color w:val="FFFFFF"/>
      </w:rPr>
      <w:t>LABORATORIOS MEN</w:t>
    </w:r>
    <w:r>
      <w:t xml:space="preserve"> </w:t>
    </w:r>
  </w:p>
  <w:p w14:paraId="4DE35591" w14:textId="77777777" w:rsidR="00FB0362" w:rsidRDefault="000237F0">
    <w:pPr>
      <w:tabs>
        <w:tab w:val="center" w:pos="4252"/>
        <w:tab w:val="right" w:pos="8504"/>
      </w:tabs>
      <w:ind w:left="-851"/>
    </w:pPr>
    <w:r>
      <w:rPr>
        <w:noProof/>
      </w:rPr>
      <w:drawing>
        <wp:anchor distT="0" distB="0" distL="0" distR="0" simplePos="0" relativeHeight="251659264" behindDoc="0" locked="0" layoutInCell="1" hidden="0" allowOverlap="1" wp14:anchorId="392514AA" wp14:editId="5E968C9E">
          <wp:simplePos x="0" y="0"/>
          <wp:positionH relativeFrom="column">
            <wp:posOffset>5151120</wp:posOffset>
          </wp:positionH>
          <wp:positionV relativeFrom="paragraph">
            <wp:posOffset>250190</wp:posOffset>
          </wp:positionV>
          <wp:extent cx="284480" cy="231140"/>
          <wp:effectExtent l="0" t="0" r="0" b="0"/>
          <wp:wrapSquare wrapText="bothSides" distT="0" distB="0" distL="0" distR="0"/>
          <wp:docPr id="746972305" name="Imagen 746972305"/>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4480" cy="231140"/>
                  </a:xfrm>
                  <a:prstGeom prst="rect">
                    <a:avLst/>
                  </a:prstGeom>
                  <a:ln/>
                </pic:spPr>
              </pic:pic>
            </a:graphicData>
          </a:graphic>
        </wp:anchor>
      </w:drawing>
    </w:r>
    <w:r>
      <w:rPr>
        <w:noProof/>
      </w:rPr>
      <w:drawing>
        <wp:anchor distT="0" distB="0" distL="0" distR="0" simplePos="0" relativeHeight="251660288" behindDoc="0" locked="0" layoutInCell="1" hidden="0" allowOverlap="1" wp14:anchorId="509D7D3D" wp14:editId="44DA5FF5">
          <wp:simplePos x="0" y="0"/>
          <wp:positionH relativeFrom="column">
            <wp:posOffset>5929630</wp:posOffset>
          </wp:positionH>
          <wp:positionV relativeFrom="paragraph">
            <wp:posOffset>250190</wp:posOffset>
          </wp:positionV>
          <wp:extent cx="267970" cy="231140"/>
          <wp:effectExtent l="0" t="0" r="0" b="0"/>
          <wp:wrapSquare wrapText="bothSides" distT="0" distB="0" distL="0" distR="0"/>
          <wp:docPr id="1567300208" name="Imagen 156730020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7970" cy="231140"/>
                  </a:xfrm>
                  <a:prstGeom prst="rect">
                    <a:avLst/>
                  </a:prstGeom>
                  <a:ln/>
                </pic:spPr>
              </pic:pic>
            </a:graphicData>
          </a:graphic>
        </wp:anchor>
      </w:drawing>
    </w:r>
    <w:r>
      <w:rPr>
        <w:noProof/>
      </w:rPr>
      <w:drawing>
        <wp:anchor distT="0" distB="0" distL="0" distR="0" simplePos="0" relativeHeight="251661312" behindDoc="0" locked="0" layoutInCell="1" hidden="0" allowOverlap="1" wp14:anchorId="08A008D5" wp14:editId="7E7F8A26">
          <wp:simplePos x="0" y="0"/>
          <wp:positionH relativeFrom="column">
            <wp:posOffset>6343015</wp:posOffset>
          </wp:positionH>
          <wp:positionV relativeFrom="paragraph">
            <wp:posOffset>250190</wp:posOffset>
          </wp:positionV>
          <wp:extent cx="191135" cy="231140"/>
          <wp:effectExtent l="0" t="0" r="0" b="0"/>
          <wp:wrapSquare wrapText="bothSides" distT="0" distB="0" distL="0" distR="0"/>
          <wp:docPr id="1110998295" name="Imagen 111099829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91135" cy="231140"/>
                  </a:xfrm>
                  <a:prstGeom prst="rect">
                    <a:avLst/>
                  </a:prstGeom>
                  <a:ln/>
                </pic:spPr>
              </pic:pic>
            </a:graphicData>
          </a:graphic>
        </wp:anchor>
      </w:drawing>
    </w:r>
    <w:r>
      <w:rPr>
        <w:noProof/>
      </w:rPr>
      <w:drawing>
        <wp:anchor distT="0" distB="0" distL="0" distR="0" simplePos="0" relativeHeight="251662336" behindDoc="0" locked="0" layoutInCell="1" hidden="0" allowOverlap="1" wp14:anchorId="7DE3CB89" wp14:editId="2704512A">
          <wp:simplePos x="0" y="0"/>
          <wp:positionH relativeFrom="column">
            <wp:posOffset>5550535</wp:posOffset>
          </wp:positionH>
          <wp:positionV relativeFrom="paragraph">
            <wp:posOffset>250190</wp:posOffset>
          </wp:positionV>
          <wp:extent cx="227330" cy="231140"/>
          <wp:effectExtent l="0" t="0" r="0" b="0"/>
          <wp:wrapSquare wrapText="bothSides" distT="0" distB="0" distL="0" distR="0"/>
          <wp:docPr id="1897855041" name="Imagen 189785504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227330" cy="23114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2664" w14:textId="77777777" w:rsidR="00FB0362" w:rsidRDefault="00FB036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6ACE" w14:textId="77777777" w:rsidR="000237F0" w:rsidRDefault="000237F0">
      <w:r>
        <w:separator/>
      </w:r>
    </w:p>
  </w:footnote>
  <w:footnote w:type="continuationSeparator" w:id="0">
    <w:p w14:paraId="64ADC506" w14:textId="77777777" w:rsidR="000237F0" w:rsidRDefault="0002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3D15" w14:textId="77777777" w:rsidR="00FB0362" w:rsidRDefault="00FB036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BAE1" w14:textId="77777777" w:rsidR="00FB0362" w:rsidRDefault="000237F0" w:rsidP="0048361A">
    <w:pPr>
      <w:tabs>
        <w:tab w:val="left" w:pos="5400"/>
      </w:tabs>
      <w:spacing w:before="708"/>
    </w:pPr>
    <w:r>
      <w:rPr>
        <w:noProof/>
      </w:rPr>
      <w:drawing>
        <wp:anchor distT="0" distB="0" distL="0" distR="0" simplePos="0" relativeHeight="251658240" behindDoc="0" locked="0" layoutInCell="1" hidden="0" allowOverlap="1" wp14:anchorId="0E1098E8" wp14:editId="2DC6A7EE">
          <wp:simplePos x="0" y="0"/>
          <wp:positionH relativeFrom="column">
            <wp:posOffset>-718178</wp:posOffset>
          </wp:positionH>
          <wp:positionV relativeFrom="paragraph">
            <wp:posOffset>-568953</wp:posOffset>
          </wp:positionV>
          <wp:extent cx="7626350" cy="2332990"/>
          <wp:effectExtent l="0" t="0" r="0" b="0"/>
          <wp:wrapSquare wrapText="bothSides" distT="0" distB="0" distL="0" distR="0"/>
          <wp:docPr id="1722122432" name="Imagen 17221224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6350" cy="233299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0EE" w14:textId="77777777" w:rsidR="00FB0362" w:rsidRDefault="00FB036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43544"/>
    <w:multiLevelType w:val="multilevel"/>
    <w:tmpl w:val="84007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6825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62"/>
    <w:rsid w:val="00011886"/>
    <w:rsid w:val="000237F0"/>
    <w:rsid w:val="0007707E"/>
    <w:rsid w:val="00120612"/>
    <w:rsid w:val="001D2401"/>
    <w:rsid w:val="00316079"/>
    <w:rsid w:val="003C67A9"/>
    <w:rsid w:val="00414F1A"/>
    <w:rsid w:val="0048215C"/>
    <w:rsid w:val="0048361A"/>
    <w:rsid w:val="004855A5"/>
    <w:rsid w:val="0054379C"/>
    <w:rsid w:val="0059765E"/>
    <w:rsid w:val="005A7E84"/>
    <w:rsid w:val="005E4437"/>
    <w:rsid w:val="006026CB"/>
    <w:rsid w:val="00685D8B"/>
    <w:rsid w:val="0080775E"/>
    <w:rsid w:val="00843BC3"/>
    <w:rsid w:val="00920915"/>
    <w:rsid w:val="00A66D1D"/>
    <w:rsid w:val="00A72CE9"/>
    <w:rsid w:val="00AC1510"/>
    <w:rsid w:val="00AF529C"/>
    <w:rsid w:val="00B0484B"/>
    <w:rsid w:val="00B04FB8"/>
    <w:rsid w:val="00CA7330"/>
    <w:rsid w:val="00D120CB"/>
    <w:rsid w:val="00D94210"/>
    <w:rsid w:val="00DE700B"/>
    <w:rsid w:val="00EA6288"/>
    <w:rsid w:val="00ED6BEB"/>
    <w:rsid w:val="00F84251"/>
    <w:rsid w:val="00FB0362"/>
    <w:rsid w:val="00FB09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83C62"/>
  <w15:docId w15:val="{644E5DA1-F2BF-4007-BA61-A475314E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rPr>
  </w:style>
  <w:style w:type="paragraph" w:styleId="Ttulo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C1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FFE"/>
    <w:rPr>
      <w:rFonts w:ascii="Tahoma" w:hAnsi="Tahoma" w:cs="Tahoma"/>
      <w:sz w:val="16"/>
      <w:szCs w:val="16"/>
    </w:rPr>
  </w:style>
  <w:style w:type="paragraph" w:styleId="Encabezado">
    <w:name w:val="header"/>
    <w:basedOn w:val="Normal"/>
    <w:link w:val="EncabezadoCar"/>
    <w:uiPriority w:val="99"/>
    <w:unhideWhenUsed/>
    <w:rsid w:val="00D03D79"/>
    <w:pPr>
      <w:tabs>
        <w:tab w:val="center" w:pos="4252"/>
        <w:tab w:val="right" w:pos="8504"/>
      </w:tabs>
    </w:pPr>
  </w:style>
  <w:style w:type="character" w:customStyle="1" w:styleId="EncabezadoCar">
    <w:name w:val="Encabezado Car"/>
    <w:basedOn w:val="Fuentedeprrafopredeter"/>
    <w:link w:val="Encabezado"/>
    <w:uiPriority w:val="99"/>
    <w:rsid w:val="00D03D79"/>
  </w:style>
  <w:style w:type="paragraph" w:styleId="Piedepgina">
    <w:name w:val="footer"/>
    <w:basedOn w:val="Normal"/>
    <w:link w:val="PiedepginaCar"/>
    <w:uiPriority w:val="99"/>
    <w:unhideWhenUsed/>
    <w:rsid w:val="00D03D79"/>
    <w:pPr>
      <w:tabs>
        <w:tab w:val="center" w:pos="4252"/>
        <w:tab w:val="right" w:pos="8504"/>
      </w:tabs>
    </w:pPr>
  </w:style>
  <w:style w:type="character" w:customStyle="1" w:styleId="PiedepginaCar">
    <w:name w:val="Pie de página Car"/>
    <w:basedOn w:val="Fuentedeprrafopredeter"/>
    <w:link w:val="Piedepgina"/>
    <w:uiPriority w:val="99"/>
    <w:rsid w:val="00D03D79"/>
  </w:style>
  <w:style w:type="paragraph" w:styleId="Prrafodelista">
    <w:name w:val="List Paragraph"/>
    <w:basedOn w:val="Normal"/>
    <w:uiPriority w:val="34"/>
    <w:qFormat/>
    <w:rsid w:val="00DF4166"/>
    <w:pPr>
      <w:ind w:left="720"/>
      <w:contextualSpacing/>
    </w:pPr>
  </w:style>
  <w:style w:type="paragraph" w:styleId="Asuntodelcomentario">
    <w:name w:val="annotation subject"/>
    <w:basedOn w:val="Textocomentario"/>
    <w:next w:val="Textocomentario"/>
    <w:link w:val="AsuntodelcomentarioCar"/>
    <w:uiPriority w:val="99"/>
    <w:semiHidden/>
    <w:unhideWhenUsed/>
    <w:rsid w:val="009D4B54"/>
    <w:rPr>
      <w:b/>
      <w:bCs/>
    </w:rPr>
  </w:style>
  <w:style w:type="character" w:customStyle="1" w:styleId="AsuntodelcomentarioCar">
    <w:name w:val="Asunto del comentario Car"/>
    <w:basedOn w:val="TextocomentarioCar"/>
    <w:link w:val="Asuntodelcomentario"/>
    <w:uiPriority w:val="99"/>
    <w:semiHidden/>
    <w:rsid w:val="009D4B54"/>
    <w:rPr>
      <w:b/>
      <w:bCs/>
      <w:sz w:val="20"/>
      <w:szCs w:val="20"/>
    </w:rPr>
  </w:style>
  <w:style w:type="character" w:styleId="Hipervnculo">
    <w:name w:val="Hyperlink"/>
    <w:basedOn w:val="Fuentedeprrafopredeter"/>
    <w:uiPriority w:val="99"/>
    <w:unhideWhenUsed/>
    <w:rsid w:val="00A47C11"/>
    <w:rPr>
      <w:color w:val="0000FF" w:themeColor="hyperlink"/>
      <w:u w:val="single"/>
    </w:rPr>
  </w:style>
  <w:style w:type="character" w:customStyle="1" w:styleId="qu">
    <w:name w:val="qu"/>
    <w:basedOn w:val="Fuentedeprrafopredeter"/>
    <w:rsid w:val="000D6A43"/>
  </w:style>
  <w:style w:type="character" w:customStyle="1" w:styleId="gd">
    <w:name w:val="gd"/>
    <w:basedOn w:val="Fuentedeprrafopredeter"/>
    <w:rsid w:val="000D6A43"/>
  </w:style>
  <w:style w:type="character" w:customStyle="1" w:styleId="g3">
    <w:name w:val="g3"/>
    <w:basedOn w:val="Fuentedeprrafopredeter"/>
    <w:rsid w:val="000D6A43"/>
  </w:style>
  <w:style w:type="character" w:customStyle="1" w:styleId="hb">
    <w:name w:val="hb"/>
    <w:basedOn w:val="Fuentedeprrafopredeter"/>
    <w:rsid w:val="000D6A43"/>
  </w:style>
  <w:style w:type="character" w:customStyle="1" w:styleId="g2">
    <w:name w:val="g2"/>
    <w:basedOn w:val="Fuentedeprrafopredeter"/>
    <w:rsid w:val="000D6A43"/>
  </w:style>
  <w:style w:type="character" w:customStyle="1" w:styleId="Mencinsinresolver1">
    <w:name w:val="Mención sin resolver1"/>
    <w:basedOn w:val="Fuentedeprrafopredeter"/>
    <w:uiPriority w:val="99"/>
    <w:semiHidden/>
    <w:unhideWhenUsed/>
    <w:rsid w:val="0083578B"/>
    <w:rPr>
      <w:color w:val="605E5C"/>
      <w:shd w:val="clear" w:color="auto" w:fill="E1DFDD"/>
    </w:rPr>
  </w:style>
  <w:style w:type="character" w:styleId="Hipervnculovisitado">
    <w:name w:val="FollowedHyperlink"/>
    <w:basedOn w:val="Fuentedeprrafopredeter"/>
    <w:uiPriority w:val="99"/>
    <w:semiHidden/>
    <w:unhideWhenUsed/>
    <w:rsid w:val="0083578B"/>
    <w:rPr>
      <w:color w:val="800080" w:themeColor="followedHyperlink"/>
      <w:u w:val="single"/>
    </w:rPr>
  </w:style>
  <w:style w:type="character" w:styleId="Textoennegrita">
    <w:name w:val="Strong"/>
    <w:basedOn w:val="Fuentedeprrafopredeter"/>
    <w:uiPriority w:val="22"/>
    <w:qFormat/>
    <w:rsid w:val="00AE4E3E"/>
    <w:rPr>
      <w:b/>
      <w:bCs/>
    </w:rPr>
  </w:style>
  <w:style w:type="character" w:customStyle="1" w:styleId="Mencinsinresolver2">
    <w:name w:val="Mención sin resolver2"/>
    <w:basedOn w:val="Fuentedeprrafopredeter"/>
    <w:uiPriority w:val="99"/>
    <w:semiHidden/>
    <w:unhideWhenUsed/>
    <w:rsid w:val="00682DBA"/>
    <w:rPr>
      <w:color w:val="605E5C"/>
      <w:shd w:val="clear" w:color="auto" w:fill="E1DFDD"/>
    </w:rPr>
  </w:style>
  <w:style w:type="paragraph" w:styleId="Revisin">
    <w:name w:val="Revision"/>
    <w:hidden/>
    <w:uiPriority w:val="99"/>
    <w:semiHidden/>
    <w:rsid w:val="00C0017E"/>
    <w:pPr>
      <w:widowControl/>
    </w:pPr>
  </w:style>
  <w:style w:type="character" w:customStyle="1" w:styleId="Mencinsinresolver3">
    <w:name w:val="Mención sin resolver3"/>
    <w:basedOn w:val="Fuentedeprrafopredeter"/>
    <w:uiPriority w:val="99"/>
    <w:semiHidden/>
    <w:unhideWhenUsed/>
    <w:rsid w:val="00F75C9B"/>
    <w:rPr>
      <w:color w:val="605E5C"/>
      <w:shd w:val="clear" w:color="auto" w:fill="E1DFDD"/>
    </w:rPr>
  </w:style>
  <w:style w:type="character" w:customStyle="1" w:styleId="Mencinsinresolver4">
    <w:name w:val="Mención sin resolver4"/>
    <w:basedOn w:val="Fuentedeprrafopredeter"/>
    <w:uiPriority w:val="99"/>
    <w:semiHidden/>
    <w:unhideWhenUsed/>
    <w:rsid w:val="00DD3D54"/>
    <w:rPr>
      <w:color w:val="605E5C"/>
      <w:shd w:val="clear" w:color="auto" w:fill="E1DFDD"/>
    </w:rPr>
  </w:style>
  <w:style w:type="paragraph" w:customStyle="1" w:styleId="pf0">
    <w:name w:val="pf0"/>
    <w:basedOn w:val="Normal"/>
    <w:rsid w:val="00FF049F"/>
    <w:pPr>
      <w:widowControl/>
      <w:spacing w:before="100" w:beforeAutospacing="1" w:after="100" w:afterAutospacing="1"/>
    </w:pPr>
    <w:rPr>
      <w:rFonts w:ascii="Times New Roman" w:eastAsia="Times New Roman" w:hAnsi="Times New Roman" w:cs="Times New Roman"/>
    </w:rPr>
  </w:style>
  <w:style w:type="character" w:customStyle="1" w:styleId="cf01">
    <w:name w:val="cf01"/>
    <w:basedOn w:val="Fuentedeprrafopredeter"/>
    <w:rsid w:val="00FF049F"/>
    <w:rPr>
      <w:rFonts w:ascii="Segoe UI" w:hAnsi="Segoe UI" w:cs="Segoe UI" w:hint="default"/>
      <w:sz w:val="18"/>
      <w:szCs w:val="18"/>
    </w:rPr>
  </w:style>
  <w:style w:type="paragraph" w:customStyle="1" w:styleId="Default">
    <w:name w:val="Default"/>
    <w:rsid w:val="00F63880"/>
    <w:pPr>
      <w:widowControl/>
      <w:autoSpaceDE w:val="0"/>
      <w:autoSpaceDN w:val="0"/>
      <w:adjustRightInd w:val="0"/>
    </w:pPr>
    <w:rPr>
      <w:rFonts w:ascii="Times New Roman" w:hAnsi="Times New Roman" w:cs="Times New Roman"/>
      <w:color w:val="000000"/>
    </w:rPr>
  </w:style>
  <w:style w:type="character" w:customStyle="1" w:styleId="TtuloCar">
    <w:name w:val="Título Car"/>
    <w:basedOn w:val="Fuentedeprrafopredeter"/>
    <w:link w:val="Ttulo"/>
    <w:uiPriority w:val="10"/>
    <w:rsid w:val="00815CD6"/>
    <w:rPr>
      <w:b/>
      <w:sz w:val="72"/>
      <w:szCs w:val="72"/>
    </w:rPr>
  </w:style>
  <w:style w:type="character" w:styleId="Mencinsinresolver">
    <w:name w:val="Unresolved Mention"/>
    <w:basedOn w:val="Fuentedeprrafopredeter"/>
    <w:uiPriority w:val="99"/>
    <w:semiHidden/>
    <w:unhideWhenUsed/>
    <w:rsid w:val="00543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soles.perez@alabr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iago.aparicio@alabra.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vdLzCO3wss8FbkRLt4WqC0ng==">CgMxLjAaJwoBMBIiCiAIBCocCgtBQUFBeUhLZmFfMBAIGgtBQUFBeUhLZmFfMCLdBwoLQUFBQXlIS2ZhXzASrQcKC0FBQUF5SEtmYV8wEgtBQUFBeUhLZmFfMBrwAQoJdGV4dC9odG1sEuIBQ2FtYmlhciBlc3RhIGZyYXNlIHBvcjrCoE1lbmFyaW5pIHRpZW5lIHVuIGZ1ZXJ0ZSBjb21wcm9taXNvIGNvbiBsYSBmb3JtYWNpw7NuIG3DqWRpY2EgY29udGludWFkYSBkZSBsb3MgcHJvZmVzaW9uYWxlcyBzYW5pdGFyaW9zLiBTdSBvYmpldGl2byBwcmluY2lwYWwgZXMgaW1wYXJ0aXIgZm9ybWFjacOzbiBkZSBjYWxpZGFkIGUgaW5ub3ZhZG9yYSBlbiBlbCDDoW1iaXRvIGRlIGxhIHNhbHVkLiLxAQoKdGV4dC9wbGFpbhLiAUNhbWJpYXIgZXN0YSBmcmFzZSBwb3I6wqBNZW5hcmluaSB0aWVuZSB1biBmdWVydGUgY29tcHJvbWlzbyBjb24gbGEgZm9ybWFjacOzbiBtw6lkaWNhIGNvbnRpbnVhZGEgZGUgbG9zIHByb2Zlc2lvbmFsZXMgc2FuaXRhcmlvcy4gU3Ugb2JqZXRpdm8gcHJpbmNpcGFsIGVzIGltcGFydGlyIGZvcm1hY2nDs24gZGUgY2FsaWRhZCBlIGlubm92YWRvcmEgZW4gZWwgw6FtYml0byBkZSBsYSBzYWx1ZC4qGyIVMTA3NjkyMDU0NTM5NTU1NDA4NzY0KAA4ADDy7NS2hjE48uzUtoYxSnkKCnRleHQvcGxhaW4Sa0xhIGZvcm1hY2nDs24gcXVlIE1lbmFyaW5pIG9mcmVjZSBhIGxvcyBwcm9mZXNpb25hbGVzIHNhbml0YXJpb3MgZXMgY2llbnTDrWZpY2EsIHRyYW5zcGFyZW50ZSB5IGNvbnRpbnVhZGEuWgxpaHJvb2ZranR1N2lyAiAAeACaAQYIABAAGACqAeUBEuIBQ2FtYmlhciBlc3RhIGZyYXNlIHBvcjrCoE1lbmFyaW5pIHRpZW5lIHVuIGZ1ZXJ0ZSBjb21wcm9taXNvIGNvbiBsYSBmb3JtYWNpw7NuIG3DqWRpY2EgY29udGludWFkYSBkZSBsb3MgcHJvZmVzaW9uYWxlcyBzYW5pdGFyaW9zLiBTdSBvYmpldGl2byBwcmluY2lwYWwgZXMgaW1wYXJ0aXIgZm9ybWFjacOzbiBkZSBjYWxpZGFkIGUgaW5ub3ZhZG9yYSBlbiBlbCDDoW1iaXRvIGRlIGxhIHNhbHVkLhjy7NS2hjEg8uzUtoYxQhBraXguZzFjc2dha3dzbXo5MghoLmdqZGd4czgAciExSGk5LXJUWU9Ua1VPXzVVeTdwbm5RaDJ1dVJ4ZmRzY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MENARINI</dc:creator>
  <cp:lastModifiedBy>Santiago Aparicio</cp:lastModifiedBy>
  <cp:revision>2</cp:revision>
  <dcterms:created xsi:type="dcterms:W3CDTF">2023-07-26T15:10:00Z</dcterms:created>
  <dcterms:modified xsi:type="dcterms:W3CDTF">2023-07-26T15:10:00Z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ce867be7fbc5bf70a03269f246bf9980ba2d439be70a348fb47d93f55b17f58a</vt:lpwstr>
  </property>
</Properties>
</file>